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30BEA" w14:textId="39FFAD09" w:rsidR="00F27BB0" w:rsidRPr="008B7464" w:rsidRDefault="00F27BB0" w:rsidP="00F27BB0">
      <w:pPr>
        <w:spacing w:line="276" w:lineRule="auto"/>
        <w:jc w:val="both"/>
        <w:rPr>
          <w:rFonts w:eastAsiaTheme="minorHAnsi" w:cs="Arial"/>
          <w:color w:val="000000"/>
          <w:szCs w:val="20"/>
          <w:lang w:val="sl-SI"/>
        </w:rPr>
      </w:pPr>
      <w:r w:rsidRPr="008B7464">
        <w:rPr>
          <w:rFonts w:eastAsiaTheme="minorHAnsi" w:cs="Arial"/>
          <w:color w:val="000000"/>
          <w:szCs w:val="20"/>
          <w:lang w:val="sl-SI"/>
        </w:rPr>
        <w:t>Na podlagi 13. člena Zakona o obnovi, razvoju in zagotavljanju finančnih sredstev (Uradni list RS, št. 131/23</w:t>
      </w:r>
      <w:r w:rsidR="00E2350A" w:rsidRPr="00E2350A">
        <w:rPr>
          <w:rFonts w:eastAsiaTheme="minorHAnsi" w:cs="Arial"/>
          <w:color w:val="000000"/>
          <w:szCs w:val="20"/>
          <w:lang w:val="sl-SI"/>
        </w:rPr>
        <w:t>, 81/24, 109/24 in 57/25</w:t>
      </w:r>
      <w:r w:rsidR="004772EF">
        <w:rPr>
          <w:rFonts w:eastAsiaTheme="minorHAnsi" w:cs="Arial"/>
          <w:color w:val="000000"/>
          <w:szCs w:val="20"/>
          <w:lang w:val="sl-SI"/>
        </w:rPr>
        <w:t>,</w:t>
      </w:r>
      <w:r w:rsidR="00E2350A">
        <w:rPr>
          <w:rFonts w:eastAsiaTheme="minorHAnsi" w:cs="Arial"/>
          <w:color w:val="000000"/>
          <w:szCs w:val="20"/>
          <w:lang w:val="sl-SI"/>
        </w:rPr>
        <w:t xml:space="preserve"> </w:t>
      </w:r>
      <w:r w:rsidRPr="008B7464">
        <w:rPr>
          <w:rFonts w:eastAsiaTheme="minorHAnsi" w:cs="Arial"/>
          <w:color w:val="000000"/>
          <w:szCs w:val="20"/>
          <w:lang w:val="sl-SI"/>
        </w:rPr>
        <w:t>v nadaljnjem besedilu ZORZFS) in Zakona o urejanju prostora (Uradni list RS, št. 199/21, 18/23 – ZDU-1O, 78/23- ZUNPEOVE, 95/23- ZIUOPZP</w:t>
      </w:r>
      <w:r w:rsidR="00AF3CAB">
        <w:rPr>
          <w:rFonts w:eastAsiaTheme="minorHAnsi" w:cs="Arial"/>
          <w:color w:val="000000"/>
          <w:szCs w:val="20"/>
          <w:lang w:val="sl-SI"/>
        </w:rPr>
        <w:t xml:space="preserve">, </w:t>
      </w:r>
      <w:r w:rsidRPr="008B7464">
        <w:rPr>
          <w:rFonts w:eastAsiaTheme="minorHAnsi" w:cs="Arial"/>
          <w:color w:val="000000"/>
          <w:szCs w:val="20"/>
          <w:lang w:val="sl-SI"/>
        </w:rPr>
        <w:t>23/24</w:t>
      </w:r>
      <w:r w:rsidR="00AF3CAB">
        <w:rPr>
          <w:rFonts w:eastAsiaTheme="minorHAnsi" w:cs="Arial"/>
          <w:color w:val="000000"/>
          <w:szCs w:val="20"/>
          <w:lang w:val="sl-SI"/>
        </w:rPr>
        <w:t xml:space="preserve"> in 109/24</w:t>
      </w:r>
      <w:r w:rsidR="00E2350A">
        <w:rPr>
          <w:rFonts w:eastAsiaTheme="minorHAnsi" w:cs="Arial"/>
          <w:color w:val="000000"/>
          <w:szCs w:val="20"/>
          <w:lang w:val="sl-SI"/>
        </w:rPr>
        <w:t xml:space="preserve">, </w:t>
      </w:r>
      <w:r w:rsidR="00E2350A" w:rsidRPr="00E2350A">
        <w:rPr>
          <w:rFonts w:eastAsiaTheme="minorHAnsi" w:cs="Arial"/>
          <w:color w:val="000000"/>
          <w:szCs w:val="20"/>
          <w:lang w:val="sl-SI"/>
        </w:rPr>
        <w:t xml:space="preserve">25/25 – </w:t>
      </w:r>
      <w:proofErr w:type="spellStart"/>
      <w:r w:rsidR="00E2350A" w:rsidRPr="00E2350A">
        <w:rPr>
          <w:rFonts w:eastAsiaTheme="minorHAnsi" w:cs="Arial"/>
          <w:color w:val="000000"/>
          <w:szCs w:val="20"/>
          <w:lang w:val="sl-SI"/>
        </w:rPr>
        <w:t>odl</w:t>
      </w:r>
      <w:proofErr w:type="spellEnd"/>
      <w:r w:rsidR="00E2350A" w:rsidRPr="00E2350A">
        <w:rPr>
          <w:rFonts w:eastAsiaTheme="minorHAnsi" w:cs="Arial"/>
          <w:color w:val="000000"/>
          <w:szCs w:val="20"/>
          <w:lang w:val="sl-SI"/>
        </w:rPr>
        <w:t>. US in 75/25</w:t>
      </w:r>
      <w:r w:rsidR="004772EF">
        <w:rPr>
          <w:rFonts w:eastAsiaTheme="minorHAnsi" w:cs="Arial"/>
          <w:color w:val="000000"/>
          <w:szCs w:val="20"/>
          <w:lang w:val="sl-SI"/>
        </w:rPr>
        <w:t>,</w:t>
      </w:r>
      <w:r w:rsidRPr="008B7464">
        <w:rPr>
          <w:rFonts w:eastAsiaTheme="minorHAnsi" w:cs="Arial"/>
          <w:color w:val="000000"/>
          <w:szCs w:val="20"/>
          <w:lang w:val="sl-SI"/>
        </w:rPr>
        <w:t xml:space="preserve"> v </w:t>
      </w:r>
      <w:r w:rsidR="002F6299" w:rsidRPr="008B7464">
        <w:rPr>
          <w:rFonts w:eastAsiaTheme="minorHAnsi" w:cs="Arial"/>
          <w:color w:val="000000"/>
          <w:szCs w:val="20"/>
          <w:lang w:val="sl-SI"/>
        </w:rPr>
        <w:t>nadalj</w:t>
      </w:r>
      <w:r w:rsidR="002F6299">
        <w:rPr>
          <w:rFonts w:eastAsiaTheme="minorHAnsi" w:cs="Arial"/>
          <w:color w:val="000000"/>
          <w:szCs w:val="20"/>
          <w:lang w:val="sl-SI"/>
        </w:rPr>
        <w:t>njem besedilu</w:t>
      </w:r>
      <w:r w:rsidRPr="008B7464">
        <w:rPr>
          <w:rFonts w:eastAsiaTheme="minorHAnsi" w:cs="Arial"/>
          <w:color w:val="000000"/>
          <w:szCs w:val="20"/>
          <w:lang w:val="sl-SI"/>
        </w:rPr>
        <w:t xml:space="preserve"> ZUreP-3) ter </w:t>
      </w:r>
      <w:r w:rsidR="003E78F4">
        <w:rPr>
          <w:rFonts w:eastAsiaTheme="minorHAnsi" w:cs="Arial"/>
          <w:color w:val="000000"/>
          <w:szCs w:val="20"/>
          <w:lang w:val="sl-SI"/>
        </w:rPr>
        <w:t>17</w:t>
      </w:r>
      <w:r w:rsidRPr="008B7464">
        <w:rPr>
          <w:rFonts w:eastAsiaTheme="minorHAnsi" w:cs="Arial"/>
          <w:color w:val="000000"/>
          <w:szCs w:val="20"/>
          <w:lang w:val="sl-SI"/>
        </w:rPr>
        <w:t xml:space="preserve">. člena </w:t>
      </w:r>
      <w:r w:rsidR="003E78F4">
        <w:rPr>
          <w:rFonts w:eastAsiaTheme="minorHAnsi" w:cs="Arial"/>
          <w:color w:val="000000"/>
          <w:szCs w:val="20"/>
          <w:lang w:val="sl-SI"/>
        </w:rPr>
        <w:t>S</w:t>
      </w:r>
      <w:r w:rsidRPr="008B7464">
        <w:rPr>
          <w:rFonts w:eastAsiaTheme="minorHAnsi" w:cs="Arial"/>
          <w:color w:val="000000"/>
          <w:szCs w:val="20"/>
          <w:lang w:val="sl-SI"/>
        </w:rPr>
        <w:t xml:space="preserve">tatuta </w:t>
      </w:r>
      <w:r w:rsidR="003E78F4">
        <w:rPr>
          <w:rFonts w:eastAsiaTheme="minorHAnsi" w:cs="Arial"/>
          <w:color w:val="000000"/>
          <w:szCs w:val="20"/>
          <w:lang w:val="sl-SI"/>
        </w:rPr>
        <w:t xml:space="preserve">Občine Gorenja vas – Poljane </w:t>
      </w:r>
      <w:r w:rsidRPr="008B7464">
        <w:rPr>
          <w:rFonts w:eastAsiaTheme="minorHAnsi" w:cs="Arial"/>
          <w:color w:val="000000"/>
          <w:szCs w:val="20"/>
          <w:lang w:val="sl-SI"/>
        </w:rPr>
        <w:t>(</w:t>
      </w:r>
      <w:r w:rsidR="003E78F4" w:rsidRPr="009D35C6">
        <w:rPr>
          <w:rFonts w:cs="Arial"/>
          <w:szCs w:val="22"/>
          <w:lang w:val="sl-SI" w:eastAsia="sl-SI"/>
        </w:rPr>
        <w:t>Uradni list RS, št. 85/13, 48/15</w:t>
      </w:r>
      <w:r w:rsidR="00E2350A">
        <w:rPr>
          <w:rFonts w:cs="Arial"/>
          <w:szCs w:val="22"/>
          <w:lang w:val="sl-SI" w:eastAsia="sl-SI"/>
        </w:rPr>
        <w:t xml:space="preserve">, </w:t>
      </w:r>
      <w:r w:rsidR="003E78F4" w:rsidRPr="009D35C6">
        <w:rPr>
          <w:rFonts w:cs="Arial"/>
          <w:szCs w:val="22"/>
          <w:lang w:val="sl-SI" w:eastAsia="sl-SI"/>
        </w:rPr>
        <w:t>31/17</w:t>
      </w:r>
      <w:r w:rsidR="00E2350A">
        <w:rPr>
          <w:rFonts w:cs="Arial"/>
          <w:szCs w:val="22"/>
          <w:lang w:val="sl-SI" w:eastAsia="sl-SI"/>
        </w:rPr>
        <w:t>,</w:t>
      </w:r>
      <w:r w:rsidR="00E2350A">
        <w:rPr>
          <w:b/>
          <w:bCs/>
        </w:rPr>
        <w:t xml:space="preserve"> </w:t>
      </w:r>
      <w:r w:rsidR="00E2350A" w:rsidRPr="00E2350A">
        <w:rPr>
          <w:rFonts w:cs="Arial"/>
          <w:szCs w:val="22"/>
          <w:lang w:eastAsia="sl-SI"/>
        </w:rPr>
        <w:t>26/25 in 42/25</w:t>
      </w:r>
      <w:r w:rsidRPr="00E2350A">
        <w:rPr>
          <w:rFonts w:eastAsiaTheme="minorHAnsi" w:cs="Arial"/>
          <w:color w:val="000000"/>
          <w:szCs w:val="20"/>
          <w:lang w:val="sl-SI"/>
        </w:rPr>
        <w:t>)</w:t>
      </w:r>
      <w:r w:rsidRPr="008B7464">
        <w:rPr>
          <w:rFonts w:eastAsiaTheme="minorHAnsi" w:cs="Arial"/>
          <w:color w:val="000000"/>
          <w:szCs w:val="20"/>
          <w:lang w:val="sl-SI"/>
        </w:rPr>
        <w:t xml:space="preserve"> je Občinski svet občine </w:t>
      </w:r>
      <w:r w:rsidR="003E78F4">
        <w:rPr>
          <w:rFonts w:eastAsiaTheme="minorHAnsi" w:cs="Arial"/>
          <w:color w:val="000000"/>
          <w:szCs w:val="20"/>
          <w:lang w:val="sl-SI"/>
        </w:rPr>
        <w:t>Gorenja vas</w:t>
      </w:r>
      <w:r w:rsidR="004772EF">
        <w:rPr>
          <w:rFonts w:eastAsiaTheme="minorHAnsi" w:cs="Arial"/>
          <w:color w:val="000000"/>
          <w:szCs w:val="20"/>
          <w:lang w:val="sl-SI"/>
        </w:rPr>
        <w:t xml:space="preserve"> </w:t>
      </w:r>
      <w:r w:rsidR="003E78F4">
        <w:rPr>
          <w:rFonts w:eastAsiaTheme="minorHAnsi" w:cs="Arial"/>
          <w:color w:val="000000"/>
          <w:szCs w:val="20"/>
          <w:lang w:val="sl-SI"/>
        </w:rPr>
        <w:t>-</w:t>
      </w:r>
      <w:r w:rsidR="004772EF">
        <w:rPr>
          <w:rFonts w:eastAsiaTheme="minorHAnsi" w:cs="Arial"/>
          <w:color w:val="000000"/>
          <w:szCs w:val="20"/>
          <w:lang w:val="sl-SI"/>
        </w:rPr>
        <w:t xml:space="preserve"> </w:t>
      </w:r>
      <w:r w:rsidR="003E78F4">
        <w:rPr>
          <w:rFonts w:eastAsiaTheme="minorHAnsi" w:cs="Arial"/>
          <w:color w:val="000000"/>
          <w:szCs w:val="20"/>
          <w:lang w:val="sl-SI"/>
        </w:rPr>
        <w:t>Poljane</w:t>
      </w:r>
      <w:r w:rsidRPr="008B7464">
        <w:rPr>
          <w:rFonts w:eastAsiaTheme="minorHAnsi" w:cs="Arial"/>
          <w:color w:val="000000"/>
          <w:szCs w:val="20"/>
          <w:lang w:val="sl-SI"/>
        </w:rPr>
        <w:t xml:space="preserve">, na </w:t>
      </w:r>
      <w:r w:rsidRPr="003E78F4">
        <w:rPr>
          <w:rFonts w:eastAsiaTheme="minorHAnsi" w:cs="Arial"/>
          <w:color w:val="FF0000"/>
          <w:szCs w:val="20"/>
          <w:lang w:val="sl-SI"/>
        </w:rPr>
        <w:t>xx</w:t>
      </w:r>
      <w:r w:rsidRPr="008B7464">
        <w:rPr>
          <w:rFonts w:eastAsiaTheme="minorHAnsi" w:cs="Arial"/>
          <w:color w:val="000000"/>
          <w:szCs w:val="20"/>
          <w:lang w:val="sl-SI"/>
        </w:rPr>
        <w:t xml:space="preserve">. </w:t>
      </w:r>
      <w:r w:rsidR="00E2350A">
        <w:rPr>
          <w:rFonts w:eastAsiaTheme="minorHAnsi" w:cs="Arial"/>
          <w:color w:val="000000"/>
          <w:szCs w:val="20"/>
          <w:lang w:val="sl-SI"/>
        </w:rPr>
        <w:t xml:space="preserve">dopisni </w:t>
      </w:r>
      <w:r w:rsidRPr="008B7464">
        <w:rPr>
          <w:rFonts w:eastAsiaTheme="minorHAnsi" w:cs="Arial"/>
          <w:color w:val="000000"/>
          <w:szCs w:val="20"/>
          <w:lang w:val="sl-SI"/>
        </w:rPr>
        <w:t xml:space="preserve">seji, dne </w:t>
      </w:r>
      <w:proofErr w:type="spellStart"/>
      <w:r w:rsidRPr="003E78F4">
        <w:rPr>
          <w:rFonts w:eastAsiaTheme="minorHAnsi" w:cs="Arial"/>
          <w:color w:val="FF0000"/>
          <w:szCs w:val="20"/>
          <w:lang w:val="sl-SI"/>
        </w:rPr>
        <w:t>xxxx</w:t>
      </w:r>
      <w:proofErr w:type="spellEnd"/>
      <w:r w:rsidRPr="008B7464">
        <w:rPr>
          <w:rFonts w:eastAsiaTheme="minorHAnsi" w:cs="Arial"/>
          <w:color w:val="000000"/>
          <w:szCs w:val="20"/>
          <w:lang w:val="sl-SI"/>
        </w:rPr>
        <w:t>, sprejel</w:t>
      </w:r>
    </w:p>
    <w:p w14:paraId="25CCE5E1" w14:textId="77777777" w:rsidR="00F27BB0" w:rsidRPr="008B7464" w:rsidRDefault="00F27BB0" w:rsidP="00F27BB0">
      <w:pPr>
        <w:spacing w:line="276" w:lineRule="auto"/>
        <w:rPr>
          <w:rFonts w:eastAsiaTheme="minorHAnsi" w:cs="Arial"/>
          <w:color w:val="000000"/>
          <w:szCs w:val="20"/>
          <w:lang w:val="sl-SI"/>
        </w:rPr>
      </w:pPr>
    </w:p>
    <w:p w14:paraId="409BA25C" w14:textId="77777777" w:rsidR="00F27BB0" w:rsidRPr="008B7464" w:rsidRDefault="00F27BB0" w:rsidP="00F27BB0">
      <w:pPr>
        <w:spacing w:line="276" w:lineRule="auto"/>
        <w:jc w:val="center"/>
        <w:rPr>
          <w:rFonts w:eastAsiaTheme="minorHAnsi" w:cs="Arial"/>
          <w:color w:val="000000"/>
          <w:szCs w:val="20"/>
          <w:lang w:val="sl-SI"/>
        </w:rPr>
      </w:pPr>
      <w:r w:rsidRPr="008B7464">
        <w:rPr>
          <w:rFonts w:eastAsiaTheme="minorHAnsi" w:cs="Arial"/>
          <w:color w:val="000000"/>
          <w:szCs w:val="20"/>
          <w:lang w:val="sl-SI"/>
        </w:rPr>
        <w:t>S K L E P</w:t>
      </w:r>
    </w:p>
    <w:p w14:paraId="2DB0710D" w14:textId="61E5962A" w:rsidR="00F27BB0" w:rsidRPr="008B7464" w:rsidRDefault="00F27BB0" w:rsidP="00F27BB0">
      <w:pPr>
        <w:spacing w:line="276" w:lineRule="auto"/>
        <w:jc w:val="center"/>
        <w:rPr>
          <w:rFonts w:eastAsiaTheme="minorHAnsi" w:cs="Arial"/>
          <w:color w:val="000000"/>
          <w:szCs w:val="20"/>
          <w:lang w:val="sl-SI"/>
        </w:rPr>
      </w:pPr>
      <w:r w:rsidRPr="008B7464">
        <w:rPr>
          <w:rFonts w:eastAsiaTheme="minorHAnsi" w:cs="Arial"/>
          <w:color w:val="000000"/>
          <w:szCs w:val="20"/>
          <w:lang w:val="sl-SI"/>
        </w:rPr>
        <w:t xml:space="preserve">o lokacijski preveritvi za manjšo spremembo območja stavbnega zemljišča določenega v Občinskem prostorskem načrtu </w:t>
      </w:r>
      <w:r w:rsidR="003E78F4">
        <w:rPr>
          <w:rFonts w:eastAsiaTheme="minorHAnsi" w:cs="Arial"/>
          <w:color w:val="000000"/>
          <w:szCs w:val="20"/>
          <w:lang w:val="sl-SI"/>
        </w:rPr>
        <w:t>Gorenja vas – Poljane</w:t>
      </w:r>
      <w:r w:rsidRPr="008B7464">
        <w:rPr>
          <w:rFonts w:eastAsiaTheme="minorHAnsi" w:cs="Arial"/>
          <w:color w:val="000000"/>
          <w:szCs w:val="20"/>
          <w:lang w:val="sl-SI"/>
        </w:rPr>
        <w:t xml:space="preserve"> za nadomestitveni objekt </w:t>
      </w:r>
      <w:r w:rsidR="003E78F4">
        <w:rPr>
          <w:rFonts w:eastAsiaTheme="minorHAnsi" w:cs="Arial"/>
          <w:color w:val="000000"/>
          <w:szCs w:val="20"/>
          <w:lang w:val="sl-SI"/>
        </w:rPr>
        <w:t xml:space="preserve">Gorenja </w:t>
      </w:r>
      <w:r w:rsidR="003E78F4" w:rsidRPr="00F228D2">
        <w:rPr>
          <w:rFonts w:eastAsiaTheme="minorHAnsi" w:cs="Arial"/>
          <w:szCs w:val="20"/>
          <w:lang w:val="sl-SI"/>
        </w:rPr>
        <w:t>Dobrava 32</w:t>
      </w:r>
      <w:r w:rsidRPr="00F228D2">
        <w:rPr>
          <w:rFonts w:eastAsiaTheme="minorHAnsi" w:cs="Arial"/>
          <w:szCs w:val="20"/>
          <w:lang w:val="sl-SI"/>
        </w:rPr>
        <w:t xml:space="preserve"> (ID </w:t>
      </w:r>
      <w:r w:rsidR="00F228D2" w:rsidRPr="00F228D2">
        <w:rPr>
          <w:rFonts w:eastAsiaTheme="minorHAnsi" w:cs="Arial"/>
          <w:szCs w:val="20"/>
          <w:lang w:val="sl-SI"/>
        </w:rPr>
        <w:t>4760</w:t>
      </w:r>
      <w:r w:rsidRPr="00F228D2">
        <w:rPr>
          <w:rFonts w:eastAsiaTheme="minorHAnsi" w:cs="Arial"/>
          <w:szCs w:val="20"/>
          <w:lang w:val="sl-SI"/>
        </w:rPr>
        <w:t>)</w:t>
      </w:r>
    </w:p>
    <w:p w14:paraId="64EDBA17" w14:textId="77777777" w:rsidR="00F27BB0" w:rsidRPr="008B7464" w:rsidRDefault="00F27BB0" w:rsidP="00F27BB0">
      <w:pPr>
        <w:spacing w:line="276" w:lineRule="auto"/>
        <w:jc w:val="center"/>
        <w:rPr>
          <w:rFonts w:eastAsiaTheme="minorHAnsi" w:cs="Arial"/>
          <w:color w:val="000000"/>
          <w:szCs w:val="20"/>
          <w:lang w:val="sl-SI"/>
        </w:rPr>
      </w:pPr>
    </w:p>
    <w:p w14:paraId="0F08F14E" w14:textId="77777777" w:rsidR="00F27BB0" w:rsidRPr="008B7464" w:rsidRDefault="00F27BB0" w:rsidP="00F27BB0">
      <w:pPr>
        <w:numPr>
          <w:ilvl w:val="0"/>
          <w:numId w:val="1"/>
        </w:numPr>
        <w:spacing w:line="276" w:lineRule="auto"/>
        <w:contextualSpacing/>
        <w:jc w:val="center"/>
        <w:rPr>
          <w:rFonts w:eastAsiaTheme="minorHAnsi" w:cs="Arial"/>
          <w:color w:val="000000"/>
          <w:szCs w:val="20"/>
          <w:lang w:val="sl-SI"/>
        </w:rPr>
      </w:pPr>
      <w:r w:rsidRPr="008B7464">
        <w:rPr>
          <w:rFonts w:eastAsiaTheme="minorHAnsi" w:cs="Arial"/>
          <w:color w:val="000000"/>
          <w:szCs w:val="20"/>
          <w:lang w:val="sl-SI"/>
        </w:rPr>
        <w:t xml:space="preserve">člen </w:t>
      </w:r>
    </w:p>
    <w:p w14:paraId="2B1BD076" w14:textId="13D519B2" w:rsidR="003159FF" w:rsidRDefault="00F27BB0" w:rsidP="00EE6F61">
      <w:pPr>
        <w:spacing w:line="276" w:lineRule="auto"/>
        <w:ind w:left="360"/>
        <w:jc w:val="center"/>
        <w:rPr>
          <w:rFonts w:eastAsiaTheme="minorHAnsi" w:cs="Arial"/>
          <w:color w:val="000000"/>
          <w:szCs w:val="20"/>
          <w:lang w:val="sl-SI"/>
        </w:rPr>
      </w:pPr>
      <w:r w:rsidRPr="008B7464">
        <w:rPr>
          <w:rFonts w:eastAsiaTheme="minorHAnsi" w:cs="Arial"/>
          <w:color w:val="000000"/>
          <w:szCs w:val="20"/>
          <w:lang w:val="sl-SI"/>
        </w:rPr>
        <w:t>(namen lokacijske preveritve in izvorno območje)</w:t>
      </w:r>
    </w:p>
    <w:p w14:paraId="1F78A661" w14:textId="77777777" w:rsidR="00EE6F61" w:rsidRPr="00CC391F" w:rsidRDefault="00EE6F61" w:rsidP="00EE6F61">
      <w:pPr>
        <w:spacing w:line="276" w:lineRule="auto"/>
        <w:ind w:left="360"/>
        <w:jc w:val="center"/>
        <w:rPr>
          <w:rFonts w:eastAsiaTheme="minorHAnsi" w:cs="Arial"/>
          <w:szCs w:val="20"/>
          <w:lang w:val="sl-SI"/>
        </w:rPr>
      </w:pPr>
    </w:p>
    <w:p w14:paraId="49476640" w14:textId="4D7682CA" w:rsidR="00F27BB0" w:rsidRPr="00CC391F" w:rsidRDefault="00F27BB0" w:rsidP="00F27BB0">
      <w:pPr>
        <w:spacing w:line="276" w:lineRule="auto"/>
        <w:jc w:val="both"/>
        <w:rPr>
          <w:rFonts w:eastAsiaTheme="minorHAnsi" w:cs="Arial"/>
          <w:szCs w:val="20"/>
          <w:lang w:val="sl-SI"/>
        </w:rPr>
      </w:pPr>
      <w:r w:rsidRPr="00CC391F">
        <w:rPr>
          <w:rFonts w:eastAsiaTheme="minorHAnsi" w:cs="Arial"/>
          <w:szCs w:val="20"/>
          <w:lang w:val="sl-SI"/>
        </w:rPr>
        <w:t>(1) S tem sklepom se potrdi Elaborat lokacijske preveritve, ki ga je pripravilo podjetje</w:t>
      </w:r>
      <w:r w:rsidR="003E78F4" w:rsidRPr="00CC391F">
        <w:rPr>
          <w:rFonts w:eastAsiaTheme="minorHAnsi" w:cs="Arial"/>
          <w:szCs w:val="20"/>
          <w:lang w:val="sl-SI"/>
        </w:rPr>
        <w:t xml:space="preserve"> Domplan d.d.</w:t>
      </w:r>
      <w:r w:rsidRPr="00CC391F">
        <w:rPr>
          <w:rFonts w:eastAsiaTheme="minorHAnsi" w:cs="Arial"/>
          <w:szCs w:val="20"/>
          <w:lang w:val="sl-SI"/>
        </w:rPr>
        <w:t xml:space="preserve"> pod številko</w:t>
      </w:r>
      <w:r w:rsidR="003E78F4" w:rsidRPr="00CC391F">
        <w:rPr>
          <w:rFonts w:eastAsiaTheme="minorHAnsi" w:cs="Arial"/>
          <w:szCs w:val="20"/>
          <w:lang w:val="sl-SI"/>
        </w:rPr>
        <w:t xml:space="preserve"> UD/570-176-24/2 v</w:t>
      </w:r>
      <w:r w:rsidR="001B45DF" w:rsidRPr="00CC391F">
        <w:rPr>
          <w:rFonts w:eastAsiaTheme="minorHAnsi" w:cs="Arial"/>
          <w:szCs w:val="20"/>
          <w:lang w:val="sl-SI"/>
        </w:rPr>
        <w:t xml:space="preserve"> oktobru</w:t>
      </w:r>
      <w:r w:rsidR="003E78F4" w:rsidRPr="00CC391F">
        <w:rPr>
          <w:rFonts w:eastAsiaTheme="minorHAnsi" w:cs="Arial"/>
          <w:szCs w:val="20"/>
          <w:lang w:val="sl-SI"/>
        </w:rPr>
        <w:t xml:space="preserve"> 2024</w:t>
      </w:r>
      <w:r w:rsidR="00345511" w:rsidRPr="00CC391F">
        <w:rPr>
          <w:rFonts w:eastAsiaTheme="minorHAnsi" w:cs="Arial"/>
          <w:szCs w:val="20"/>
          <w:lang w:val="sl-SI"/>
        </w:rPr>
        <w:t xml:space="preserve"> in dopolnilo v januarju 2025</w:t>
      </w:r>
      <w:r w:rsidR="003E78F4" w:rsidRPr="00CC391F">
        <w:rPr>
          <w:rFonts w:eastAsiaTheme="minorHAnsi" w:cs="Arial"/>
          <w:szCs w:val="20"/>
          <w:lang w:val="sl-SI"/>
        </w:rPr>
        <w:t>,</w:t>
      </w:r>
      <w:r w:rsidRPr="00CC391F">
        <w:rPr>
          <w:rFonts w:eastAsiaTheme="minorHAnsi" w:cs="Arial"/>
          <w:szCs w:val="20"/>
          <w:lang w:val="sl-SI"/>
        </w:rPr>
        <w:t xml:space="preserve"> s katerim se predlaga manjša sprememba območja stav</w:t>
      </w:r>
      <w:r w:rsidR="003E78F4" w:rsidRPr="00CC391F">
        <w:rPr>
          <w:rFonts w:eastAsiaTheme="minorHAnsi" w:cs="Arial"/>
          <w:szCs w:val="20"/>
          <w:lang w:val="sl-SI"/>
        </w:rPr>
        <w:t>b</w:t>
      </w:r>
      <w:r w:rsidRPr="00CC391F">
        <w:rPr>
          <w:rFonts w:eastAsiaTheme="minorHAnsi" w:cs="Arial"/>
          <w:szCs w:val="20"/>
          <w:lang w:val="sl-SI"/>
        </w:rPr>
        <w:t>nega zemljišča v EUP</w:t>
      </w:r>
      <w:r w:rsidR="003E78F4" w:rsidRPr="00CC391F">
        <w:rPr>
          <w:rFonts w:eastAsiaTheme="minorHAnsi" w:cs="Arial"/>
          <w:szCs w:val="20"/>
          <w:lang w:val="sl-SI"/>
        </w:rPr>
        <w:t xml:space="preserve"> GOD-14/5</w:t>
      </w:r>
      <w:r w:rsidRPr="00CC391F">
        <w:rPr>
          <w:rFonts w:eastAsiaTheme="minorHAnsi" w:cs="Arial"/>
          <w:szCs w:val="20"/>
          <w:lang w:val="sl-SI"/>
        </w:rPr>
        <w:t xml:space="preserve"> z določeno namensko rabo prostora </w:t>
      </w:r>
      <w:r w:rsidR="003E78F4" w:rsidRPr="00CC391F">
        <w:rPr>
          <w:rFonts w:eastAsiaTheme="minorHAnsi" w:cs="Arial"/>
          <w:szCs w:val="20"/>
          <w:lang w:val="sl-SI"/>
        </w:rPr>
        <w:t>A – posamična poselitev</w:t>
      </w:r>
      <w:r w:rsidRPr="00CC391F">
        <w:rPr>
          <w:rFonts w:eastAsiaTheme="minorHAnsi" w:cs="Arial"/>
          <w:szCs w:val="20"/>
          <w:lang w:val="sl-SI"/>
        </w:rPr>
        <w:t xml:space="preserve">, na parcelah št. </w:t>
      </w:r>
      <w:r w:rsidR="003159FF" w:rsidRPr="00CC391F">
        <w:rPr>
          <w:rFonts w:eastAsiaTheme="minorHAnsi" w:cs="Arial"/>
          <w:iCs/>
          <w:szCs w:val="20"/>
          <w:lang w:val="sl-SI"/>
        </w:rPr>
        <w:t>54/2 *131, *135, *154, 421/3 (del), 422/1 (del), 422/2 (del), 422/3 (del), 441 (del), 442/1 (del), 442/2, 444/2, 444/4, 1566 (del),</w:t>
      </w:r>
      <w:r w:rsidRPr="00CC391F">
        <w:rPr>
          <w:rFonts w:eastAsiaTheme="minorHAnsi" w:cs="Arial"/>
          <w:szCs w:val="20"/>
          <w:lang w:val="sl-SI"/>
        </w:rPr>
        <w:t xml:space="preserve"> </w:t>
      </w:r>
      <w:r w:rsidR="00CD4937" w:rsidRPr="00CC391F">
        <w:rPr>
          <w:rFonts w:eastAsiaTheme="minorHAnsi" w:cs="Arial"/>
          <w:szCs w:val="20"/>
          <w:lang w:val="sl-SI"/>
        </w:rPr>
        <w:t xml:space="preserve">vse v </w:t>
      </w:r>
      <w:r w:rsidRPr="00CC391F">
        <w:rPr>
          <w:rFonts w:eastAsiaTheme="minorHAnsi" w:cs="Arial"/>
          <w:szCs w:val="20"/>
          <w:lang w:val="sl-SI"/>
        </w:rPr>
        <w:t xml:space="preserve">k.o. </w:t>
      </w:r>
      <w:r w:rsidR="003159FF" w:rsidRPr="00CC391F">
        <w:rPr>
          <w:rFonts w:eastAsiaTheme="minorHAnsi" w:cs="Arial"/>
          <w:szCs w:val="20"/>
          <w:lang w:val="sl-SI"/>
        </w:rPr>
        <w:t>2058 Dolenja Dobrava</w:t>
      </w:r>
      <w:r w:rsidRPr="00CC391F">
        <w:rPr>
          <w:rFonts w:eastAsiaTheme="minorHAnsi" w:cs="Arial"/>
          <w:szCs w:val="20"/>
          <w:lang w:val="sl-SI"/>
        </w:rPr>
        <w:t xml:space="preserve"> v izmeri/velikosti</w:t>
      </w:r>
      <w:r w:rsidR="003E78F4" w:rsidRPr="00CC391F">
        <w:rPr>
          <w:rFonts w:eastAsiaTheme="minorHAnsi" w:cs="Arial"/>
          <w:szCs w:val="20"/>
          <w:lang w:val="sl-SI"/>
        </w:rPr>
        <w:t xml:space="preserve"> </w:t>
      </w:r>
      <w:r w:rsidR="003159FF" w:rsidRPr="00CC391F">
        <w:rPr>
          <w:rFonts w:eastAsiaTheme="minorHAnsi" w:cs="Arial"/>
          <w:szCs w:val="20"/>
          <w:lang w:val="sl-SI"/>
        </w:rPr>
        <w:t>9</w:t>
      </w:r>
      <w:r w:rsidR="003E78F4" w:rsidRPr="00CC391F">
        <w:rPr>
          <w:rFonts w:eastAsiaTheme="minorHAnsi" w:cs="Arial"/>
          <w:szCs w:val="20"/>
          <w:lang w:val="sl-SI"/>
        </w:rPr>
        <w:t>.</w:t>
      </w:r>
      <w:r w:rsidR="003159FF" w:rsidRPr="00CC391F">
        <w:rPr>
          <w:rFonts w:eastAsiaTheme="minorHAnsi" w:cs="Arial"/>
          <w:szCs w:val="20"/>
          <w:lang w:val="sl-SI"/>
        </w:rPr>
        <w:t>682,42</w:t>
      </w:r>
      <w:r w:rsidR="003E78F4" w:rsidRPr="00CC391F">
        <w:rPr>
          <w:rFonts w:eastAsiaTheme="minorHAnsi" w:cs="Arial"/>
          <w:szCs w:val="20"/>
          <w:lang w:val="sl-SI"/>
        </w:rPr>
        <w:t xml:space="preserve"> m</w:t>
      </w:r>
      <w:r w:rsidR="003E78F4" w:rsidRPr="00DC789E">
        <w:rPr>
          <w:rFonts w:eastAsiaTheme="minorHAnsi" w:cs="Arial"/>
          <w:szCs w:val="20"/>
          <w:vertAlign w:val="superscript"/>
          <w:lang w:val="sl-SI"/>
        </w:rPr>
        <w:t>2</w:t>
      </w:r>
      <w:r w:rsidRPr="00CC391F">
        <w:rPr>
          <w:rFonts w:eastAsiaTheme="minorHAnsi" w:cs="Arial"/>
          <w:szCs w:val="20"/>
          <w:lang w:val="sl-SI"/>
        </w:rPr>
        <w:t xml:space="preserve">. </w:t>
      </w:r>
    </w:p>
    <w:p w14:paraId="532A8648" w14:textId="77777777" w:rsidR="00F27BB0" w:rsidRPr="00CC391F" w:rsidRDefault="00F27BB0" w:rsidP="003159FF">
      <w:pPr>
        <w:spacing w:line="240" w:lineRule="auto"/>
        <w:ind w:right="426"/>
        <w:jc w:val="both"/>
        <w:rPr>
          <w:rFonts w:eastAsiaTheme="minorHAnsi" w:cs="Arial"/>
          <w:szCs w:val="20"/>
          <w:lang w:val="sl-SI"/>
        </w:rPr>
      </w:pPr>
    </w:p>
    <w:p w14:paraId="4872E29F" w14:textId="67803FA8" w:rsidR="003159FF" w:rsidRPr="003159FF" w:rsidRDefault="00F27BB0" w:rsidP="003159FF">
      <w:pPr>
        <w:spacing w:line="276" w:lineRule="auto"/>
        <w:jc w:val="both"/>
        <w:rPr>
          <w:rFonts w:eastAsiaTheme="minorHAnsi" w:cs="Arial"/>
          <w:iCs/>
          <w:color w:val="000000"/>
          <w:szCs w:val="20"/>
          <w:lang w:val="sl-SI"/>
        </w:rPr>
      </w:pPr>
      <w:r w:rsidRPr="003159FF">
        <w:rPr>
          <w:rFonts w:eastAsiaTheme="minorHAnsi" w:cs="Arial"/>
          <w:iCs/>
          <w:color w:val="000000"/>
          <w:szCs w:val="20"/>
          <w:lang w:val="sl-SI"/>
        </w:rPr>
        <w:t xml:space="preserve">(2) EUP iz prejšnjega odstavka je določena v </w:t>
      </w:r>
      <w:r w:rsidR="003159FF" w:rsidRPr="003159FF">
        <w:rPr>
          <w:rFonts w:eastAsiaTheme="minorHAnsi" w:cs="Arial"/>
          <w:iCs/>
          <w:color w:val="000000"/>
          <w:szCs w:val="20"/>
          <w:lang w:val="sl-SI"/>
        </w:rPr>
        <w:t>Občinskem prostorskem načrtu Občine Gorenja vas – Poljane (Ur</w:t>
      </w:r>
      <w:r w:rsidR="004772EF">
        <w:rPr>
          <w:rFonts w:eastAsiaTheme="minorHAnsi" w:cs="Arial"/>
          <w:iCs/>
          <w:color w:val="000000"/>
          <w:szCs w:val="20"/>
          <w:lang w:val="sl-SI"/>
        </w:rPr>
        <w:t>adni</w:t>
      </w:r>
      <w:r w:rsidR="003159FF" w:rsidRPr="003159FF">
        <w:rPr>
          <w:rFonts w:eastAsiaTheme="minorHAnsi" w:cs="Arial"/>
          <w:iCs/>
          <w:color w:val="000000"/>
          <w:szCs w:val="20"/>
          <w:lang w:val="sl-SI"/>
        </w:rPr>
        <w:t xml:space="preserve"> list RS, št. 48/10, 76/10</w:t>
      </w:r>
      <w:r w:rsidR="004772EF">
        <w:rPr>
          <w:rFonts w:eastAsiaTheme="minorHAnsi" w:cs="Arial"/>
          <w:iCs/>
          <w:color w:val="000000"/>
          <w:szCs w:val="20"/>
          <w:lang w:val="sl-SI"/>
        </w:rPr>
        <w:t>-popr.</w:t>
      </w:r>
      <w:r w:rsidR="003159FF" w:rsidRPr="003159FF">
        <w:rPr>
          <w:rFonts w:eastAsiaTheme="minorHAnsi" w:cs="Arial"/>
          <w:iCs/>
          <w:color w:val="000000"/>
          <w:szCs w:val="20"/>
          <w:lang w:val="sl-SI"/>
        </w:rPr>
        <w:t>, 81/10</w:t>
      </w:r>
      <w:r w:rsidR="004772EF">
        <w:rPr>
          <w:rFonts w:eastAsiaTheme="minorHAnsi" w:cs="Arial"/>
          <w:iCs/>
          <w:color w:val="000000"/>
          <w:szCs w:val="20"/>
          <w:lang w:val="sl-SI"/>
        </w:rPr>
        <w:t>-obvezna razlaga</w:t>
      </w:r>
      <w:r w:rsidR="003159FF" w:rsidRPr="003159FF">
        <w:rPr>
          <w:rFonts w:eastAsiaTheme="minorHAnsi" w:cs="Arial"/>
          <w:iCs/>
          <w:color w:val="000000"/>
          <w:szCs w:val="20"/>
          <w:lang w:val="sl-SI"/>
        </w:rPr>
        <w:t>, 22/11</w:t>
      </w:r>
      <w:r w:rsidR="004772EF">
        <w:rPr>
          <w:rFonts w:eastAsiaTheme="minorHAnsi" w:cs="Arial"/>
          <w:iCs/>
          <w:color w:val="000000"/>
          <w:szCs w:val="20"/>
          <w:lang w:val="sl-SI"/>
        </w:rPr>
        <w:t>-popr.</w:t>
      </w:r>
      <w:r w:rsidR="003159FF" w:rsidRPr="003159FF">
        <w:rPr>
          <w:rFonts w:eastAsiaTheme="minorHAnsi" w:cs="Arial"/>
          <w:iCs/>
          <w:color w:val="000000"/>
          <w:szCs w:val="20"/>
          <w:lang w:val="sl-SI"/>
        </w:rPr>
        <w:t>, 53/11</w:t>
      </w:r>
      <w:r w:rsidR="004772EF">
        <w:rPr>
          <w:rFonts w:eastAsiaTheme="minorHAnsi" w:cs="Arial"/>
          <w:iCs/>
          <w:color w:val="000000"/>
          <w:szCs w:val="20"/>
          <w:lang w:val="sl-SI"/>
        </w:rPr>
        <w:t>-popr.</w:t>
      </w:r>
      <w:r w:rsidR="003159FF" w:rsidRPr="003159FF">
        <w:rPr>
          <w:rFonts w:eastAsiaTheme="minorHAnsi" w:cs="Arial"/>
          <w:iCs/>
          <w:color w:val="000000"/>
          <w:szCs w:val="20"/>
          <w:lang w:val="sl-SI"/>
        </w:rPr>
        <w:t>, 52/14</w:t>
      </w:r>
      <w:r w:rsidR="004772EF">
        <w:rPr>
          <w:rFonts w:eastAsiaTheme="minorHAnsi" w:cs="Arial"/>
          <w:iCs/>
          <w:color w:val="000000"/>
          <w:szCs w:val="20"/>
          <w:lang w:val="sl-SI"/>
        </w:rPr>
        <w:t>-obvezna razlaga</w:t>
      </w:r>
      <w:r w:rsidR="003159FF" w:rsidRPr="003159FF">
        <w:rPr>
          <w:rFonts w:eastAsiaTheme="minorHAnsi" w:cs="Arial"/>
          <w:iCs/>
          <w:color w:val="000000"/>
          <w:szCs w:val="20"/>
          <w:lang w:val="sl-SI"/>
        </w:rPr>
        <w:t>, 5/16, 45/16</w:t>
      </w:r>
      <w:r w:rsidR="004772EF">
        <w:rPr>
          <w:rFonts w:eastAsiaTheme="minorHAnsi" w:cs="Arial"/>
          <w:iCs/>
          <w:color w:val="000000"/>
          <w:szCs w:val="20"/>
          <w:lang w:val="sl-SI"/>
        </w:rPr>
        <w:t>-obvezna razlaga</w:t>
      </w:r>
      <w:r w:rsidR="003159FF" w:rsidRPr="003159FF">
        <w:rPr>
          <w:rFonts w:eastAsiaTheme="minorHAnsi" w:cs="Arial"/>
          <w:iCs/>
          <w:color w:val="000000"/>
          <w:szCs w:val="20"/>
          <w:lang w:val="sl-SI"/>
        </w:rPr>
        <w:t>, 55/16</w:t>
      </w:r>
      <w:r w:rsidR="004772EF">
        <w:rPr>
          <w:rFonts w:eastAsiaTheme="minorHAnsi" w:cs="Arial"/>
          <w:iCs/>
          <w:color w:val="000000"/>
          <w:szCs w:val="20"/>
          <w:lang w:val="sl-SI"/>
        </w:rPr>
        <w:t>-popr.</w:t>
      </w:r>
      <w:r w:rsidR="003159FF" w:rsidRPr="003159FF">
        <w:rPr>
          <w:rFonts w:eastAsiaTheme="minorHAnsi" w:cs="Arial"/>
          <w:iCs/>
          <w:color w:val="000000"/>
          <w:szCs w:val="20"/>
          <w:lang w:val="sl-SI"/>
        </w:rPr>
        <w:t>, 111/21, 49/24</w:t>
      </w:r>
      <w:r w:rsidR="004772EF">
        <w:rPr>
          <w:rFonts w:eastAsiaTheme="minorHAnsi" w:cs="Arial"/>
          <w:iCs/>
          <w:color w:val="000000"/>
          <w:szCs w:val="20"/>
          <w:lang w:val="sl-SI"/>
        </w:rPr>
        <w:t>-TP in 42/25-LP</w:t>
      </w:r>
      <w:r w:rsidR="002F6299">
        <w:rPr>
          <w:rFonts w:eastAsiaTheme="minorHAnsi" w:cs="Arial"/>
          <w:iCs/>
          <w:color w:val="000000"/>
          <w:szCs w:val="20"/>
          <w:lang w:val="sl-SI"/>
        </w:rPr>
        <w:t xml:space="preserve">; v nadaljnjem besedilu </w:t>
      </w:r>
      <w:r w:rsidR="002F6299" w:rsidRPr="008B7464">
        <w:rPr>
          <w:rFonts w:eastAsiaTheme="minorHAnsi" w:cs="Arial"/>
          <w:color w:val="000000"/>
          <w:szCs w:val="20"/>
          <w:lang w:val="sl-SI"/>
        </w:rPr>
        <w:t xml:space="preserve">OPN </w:t>
      </w:r>
      <w:r w:rsidR="002F6299">
        <w:rPr>
          <w:rFonts w:eastAsiaTheme="minorHAnsi" w:cs="Arial"/>
          <w:color w:val="000000"/>
          <w:szCs w:val="20"/>
          <w:lang w:val="sl-SI"/>
        </w:rPr>
        <w:t>Gorenja vas-Poljane</w:t>
      </w:r>
      <w:r w:rsidR="003159FF" w:rsidRPr="003159FF">
        <w:rPr>
          <w:rFonts w:eastAsiaTheme="minorHAnsi" w:cs="Arial"/>
          <w:iCs/>
          <w:color w:val="000000"/>
          <w:szCs w:val="20"/>
          <w:lang w:val="sl-SI"/>
        </w:rPr>
        <w:t>).</w:t>
      </w:r>
    </w:p>
    <w:p w14:paraId="21970670" w14:textId="77777777" w:rsidR="00F27BB0" w:rsidRPr="008B7464" w:rsidRDefault="00F27BB0" w:rsidP="00F27BB0">
      <w:pPr>
        <w:spacing w:line="276" w:lineRule="auto"/>
        <w:jc w:val="both"/>
        <w:rPr>
          <w:rFonts w:eastAsiaTheme="minorHAnsi" w:cs="Arial"/>
          <w:color w:val="000000"/>
          <w:szCs w:val="20"/>
          <w:lang w:val="sl-SI"/>
        </w:rPr>
      </w:pPr>
    </w:p>
    <w:p w14:paraId="39DEC284" w14:textId="77777777" w:rsidR="00F27BB0" w:rsidRPr="008B7464" w:rsidRDefault="00F27BB0" w:rsidP="00F27BB0">
      <w:pPr>
        <w:numPr>
          <w:ilvl w:val="0"/>
          <w:numId w:val="1"/>
        </w:numPr>
        <w:spacing w:line="276" w:lineRule="auto"/>
        <w:contextualSpacing/>
        <w:jc w:val="center"/>
        <w:rPr>
          <w:rFonts w:eastAsiaTheme="minorHAnsi" w:cs="Arial"/>
          <w:color w:val="000000"/>
          <w:szCs w:val="20"/>
          <w:lang w:val="sl-SI"/>
        </w:rPr>
      </w:pPr>
      <w:r w:rsidRPr="008B7464">
        <w:rPr>
          <w:rFonts w:eastAsiaTheme="minorHAnsi" w:cs="Arial"/>
          <w:color w:val="000000"/>
          <w:szCs w:val="20"/>
          <w:lang w:val="sl-SI"/>
        </w:rPr>
        <w:t>člen</w:t>
      </w:r>
    </w:p>
    <w:p w14:paraId="31D914E6" w14:textId="77777777" w:rsidR="00F27BB0" w:rsidRDefault="00F27BB0" w:rsidP="00F27BB0">
      <w:pPr>
        <w:spacing w:line="276" w:lineRule="auto"/>
        <w:ind w:left="720"/>
        <w:contextualSpacing/>
        <w:jc w:val="center"/>
        <w:rPr>
          <w:rFonts w:eastAsiaTheme="minorHAnsi" w:cs="Arial"/>
          <w:color w:val="000000"/>
          <w:szCs w:val="20"/>
          <w:lang w:val="sl-SI"/>
        </w:rPr>
      </w:pPr>
      <w:r w:rsidRPr="008B7464">
        <w:rPr>
          <w:rFonts w:eastAsiaTheme="minorHAnsi" w:cs="Arial"/>
          <w:color w:val="000000"/>
          <w:szCs w:val="20"/>
          <w:lang w:val="sl-SI"/>
        </w:rPr>
        <w:t>(sprememba stavbnega zemljišča)</w:t>
      </w:r>
    </w:p>
    <w:p w14:paraId="0DF57384" w14:textId="77777777" w:rsidR="003159FF" w:rsidRPr="008B7464" w:rsidRDefault="003159FF" w:rsidP="00F27BB0">
      <w:pPr>
        <w:spacing w:line="276" w:lineRule="auto"/>
        <w:ind w:left="720"/>
        <w:contextualSpacing/>
        <w:jc w:val="center"/>
        <w:rPr>
          <w:rFonts w:eastAsiaTheme="minorHAnsi" w:cs="Arial"/>
          <w:color w:val="000000"/>
          <w:szCs w:val="20"/>
          <w:lang w:val="sl-SI"/>
        </w:rPr>
      </w:pPr>
    </w:p>
    <w:p w14:paraId="70039850" w14:textId="3A25AFB1" w:rsidR="00F27BB0" w:rsidRDefault="00F27BB0" w:rsidP="00F27BB0">
      <w:pPr>
        <w:spacing w:line="276" w:lineRule="auto"/>
        <w:jc w:val="both"/>
        <w:rPr>
          <w:rFonts w:eastAsiaTheme="minorHAnsi" w:cs="Arial"/>
          <w:color w:val="000000"/>
          <w:szCs w:val="20"/>
          <w:lang w:val="sl-SI"/>
        </w:rPr>
      </w:pPr>
      <w:r w:rsidRPr="008B7464">
        <w:rPr>
          <w:rFonts w:eastAsiaTheme="minorHAnsi" w:cs="Arial"/>
          <w:color w:val="000000"/>
          <w:szCs w:val="20"/>
          <w:lang w:val="sl-SI"/>
        </w:rPr>
        <w:t>(1) Z lokacijsko preveritvijo se spremeni</w:t>
      </w:r>
      <w:r w:rsidR="001D2BFF">
        <w:rPr>
          <w:rFonts w:eastAsiaTheme="minorHAnsi" w:cs="Arial"/>
          <w:color w:val="000000"/>
          <w:szCs w:val="20"/>
          <w:lang w:val="sl-SI"/>
        </w:rPr>
        <w:t>jo</w:t>
      </w:r>
      <w:r w:rsidRPr="008B7464">
        <w:rPr>
          <w:rFonts w:eastAsiaTheme="minorHAnsi" w:cs="Arial"/>
          <w:color w:val="000000"/>
          <w:szCs w:val="20"/>
          <w:lang w:val="sl-SI"/>
        </w:rPr>
        <w:t xml:space="preserve"> prostorsko izvedbeni pogoji </w:t>
      </w:r>
      <w:r w:rsidR="003159FF">
        <w:rPr>
          <w:rFonts w:eastAsiaTheme="minorHAnsi" w:cs="Arial"/>
          <w:color w:val="000000"/>
          <w:szCs w:val="20"/>
          <w:lang w:val="sl-SI"/>
        </w:rPr>
        <w:t>ter</w:t>
      </w:r>
      <w:r w:rsidRPr="008B7464">
        <w:rPr>
          <w:rFonts w:eastAsiaTheme="minorHAnsi" w:cs="Arial"/>
          <w:color w:val="000000"/>
          <w:szCs w:val="20"/>
          <w:lang w:val="sl-SI"/>
        </w:rPr>
        <w:t xml:space="preserve"> poveča stavbno </w:t>
      </w:r>
      <w:r w:rsidRPr="00166B4A">
        <w:rPr>
          <w:rFonts w:eastAsiaTheme="minorHAnsi" w:cs="Arial"/>
          <w:szCs w:val="20"/>
          <w:lang w:val="sl-SI"/>
        </w:rPr>
        <w:t>zemljišče za gradnjo nadomestitvenega objekt</w:t>
      </w:r>
      <w:r w:rsidR="001D2BFF" w:rsidRPr="00166B4A">
        <w:rPr>
          <w:rFonts w:eastAsiaTheme="minorHAnsi" w:cs="Arial"/>
          <w:szCs w:val="20"/>
          <w:lang w:val="sl-SI"/>
        </w:rPr>
        <w:t>a in pripadajočih ureditev</w:t>
      </w:r>
      <w:r w:rsidRPr="00166B4A">
        <w:rPr>
          <w:rFonts w:eastAsiaTheme="minorHAnsi" w:cs="Arial"/>
          <w:szCs w:val="20"/>
          <w:lang w:val="sl-SI"/>
        </w:rPr>
        <w:t xml:space="preserve">, in </w:t>
      </w:r>
      <w:r w:rsidR="00166B4A" w:rsidRPr="00166B4A">
        <w:rPr>
          <w:rFonts w:eastAsiaTheme="minorHAnsi" w:cs="Arial"/>
          <w:szCs w:val="20"/>
          <w:lang w:val="sl-SI"/>
        </w:rPr>
        <w:t xml:space="preserve">sicer za gradnjo enodružinske stanovanjske hiše, pripadajočega gospodarskega poslopja s hlevom ter dveh kozolcev. </w:t>
      </w:r>
    </w:p>
    <w:p w14:paraId="41462CB6" w14:textId="77777777" w:rsidR="00CD4937" w:rsidRDefault="00CD4937" w:rsidP="00F27BB0">
      <w:pPr>
        <w:spacing w:line="276" w:lineRule="auto"/>
        <w:jc w:val="both"/>
        <w:rPr>
          <w:rFonts w:eastAsiaTheme="minorHAnsi" w:cs="Arial"/>
          <w:color w:val="000000"/>
          <w:szCs w:val="20"/>
          <w:lang w:val="sl-SI"/>
        </w:rPr>
      </w:pPr>
    </w:p>
    <w:p w14:paraId="16F87980" w14:textId="3E16F9C1" w:rsidR="00CD4937" w:rsidRPr="008B7464" w:rsidRDefault="00CD4937" w:rsidP="00F27BB0">
      <w:pPr>
        <w:spacing w:line="276" w:lineRule="auto"/>
        <w:jc w:val="both"/>
        <w:rPr>
          <w:rFonts w:eastAsiaTheme="minorHAnsi" w:cs="Arial"/>
          <w:color w:val="000000"/>
          <w:szCs w:val="20"/>
          <w:lang w:val="sl-SI"/>
        </w:rPr>
      </w:pPr>
      <w:r w:rsidRPr="008B7464">
        <w:rPr>
          <w:rFonts w:eastAsiaTheme="minorHAnsi" w:cs="Arial"/>
          <w:color w:val="000000"/>
          <w:szCs w:val="20"/>
          <w:lang w:val="sl-SI"/>
        </w:rPr>
        <w:t xml:space="preserve">(2) Površina širitve stavbnega zemljišča zajema parcele št. </w:t>
      </w:r>
      <w:r>
        <w:rPr>
          <w:rFonts w:eastAsiaTheme="minorHAnsi" w:cs="Arial"/>
          <w:color w:val="000000"/>
          <w:szCs w:val="20"/>
          <w:lang w:val="sl-SI"/>
        </w:rPr>
        <w:t>422/1(del), 422/2(del) in 422/3(del)</w:t>
      </w:r>
      <w:r w:rsidRPr="008B7464">
        <w:rPr>
          <w:rFonts w:eastAsiaTheme="minorHAnsi" w:cs="Arial"/>
          <w:color w:val="000000"/>
          <w:szCs w:val="20"/>
          <w:lang w:val="sl-SI"/>
        </w:rPr>
        <w:t xml:space="preserve"> k. o.</w:t>
      </w:r>
      <w:r>
        <w:rPr>
          <w:rFonts w:eastAsiaTheme="minorHAnsi" w:cs="Arial"/>
          <w:color w:val="000000"/>
          <w:szCs w:val="20"/>
          <w:lang w:val="sl-SI"/>
        </w:rPr>
        <w:t xml:space="preserve"> 2058 Dolenja Dobrava</w:t>
      </w:r>
      <w:r w:rsidRPr="008B7464">
        <w:rPr>
          <w:rFonts w:eastAsiaTheme="minorHAnsi" w:cs="Arial"/>
          <w:color w:val="000000"/>
          <w:szCs w:val="20"/>
          <w:lang w:val="sl-SI"/>
        </w:rPr>
        <w:t xml:space="preserve"> v skupni površini </w:t>
      </w:r>
      <w:r>
        <w:rPr>
          <w:rFonts w:eastAsiaTheme="minorHAnsi" w:cs="Arial"/>
          <w:color w:val="000000"/>
          <w:szCs w:val="20"/>
          <w:lang w:val="sl-SI"/>
        </w:rPr>
        <w:t xml:space="preserve">1721,90 </w:t>
      </w:r>
      <w:r w:rsidRPr="008B7464">
        <w:rPr>
          <w:rFonts w:eastAsiaTheme="minorHAnsi" w:cs="Arial"/>
          <w:color w:val="000000"/>
          <w:szCs w:val="20"/>
          <w:lang w:val="sl-SI"/>
        </w:rPr>
        <w:t>m</w:t>
      </w:r>
      <w:r w:rsidRPr="003E09C6">
        <w:rPr>
          <w:rFonts w:eastAsiaTheme="minorHAnsi" w:cs="Arial"/>
          <w:color w:val="000000"/>
          <w:szCs w:val="20"/>
          <w:vertAlign w:val="superscript"/>
          <w:lang w:val="sl-SI"/>
        </w:rPr>
        <w:t>2</w:t>
      </w:r>
      <w:r w:rsidRPr="008B7464">
        <w:rPr>
          <w:rFonts w:eastAsiaTheme="minorHAnsi" w:cs="Arial"/>
          <w:color w:val="000000"/>
          <w:szCs w:val="20"/>
          <w:lang w:val="sl-SI"/>
        </w:rPr>
        <w:t>. Na območju</w:t>
      </w:r>
      <w:r>
        <w:rPr>
          <w:rFonts w:eastAsiaTheme="minorHAnsi" w:cs="Arial"/>
          <w:color w:val="000000"/>
          <w:szCs w:val="20"/>
          <w:lang w:val="sl-SI"/>
        </w:rPr>
        <w:t xml:space="preserve"> </w:t>
      </w:r>
      <w:r w:rsidRPr="008B7464">
        <w:rPr>
          <w:rFonts w:eastAsiaTheme="minorHAnsi" w:cs="Arial"/>
          <w:color w:val="000000"/>
          <w:szCs w:val="20"/>
          <w:lang w:val="sl-SI"/>
        </w:rPr>
        <w:t xml:space="preserve">širitve stavbnega zemljišča se določi namenska raba prostora </w:t>
      </w:r>
      <w:r>
        <w:rPr>
          <w:rFonts w:eastAsiaTheme="minorHAnsi" w:cs="Arial"/>
          <w:color w:val="000000"/>
          <w:szCs w:val="20"/>
          <w:lang w:val="sl-SI"/>
        </w:rPr>
        <w:t>A – posamična poselitev.</w:t>
      </w:r>
    </w:p>
    <w:p w14:paraId="54F73052" w14:textId="77777777" w:rsidR="00F27BB0" w:rsidRPr="008B7464" w:rsidRDefault="00F27BB0" w:rsidP="00F27BB0">
      <w:pPr>
        <w:spacing w:line="276" w:lineRule="auto"/>
        <w:jc w:val="both"/>
        <w:rPr>
          <w:rFonts w:eastAsiaTheme="minorHAnsi" w:cs="Arial"/>
          <w:color w:val="000000"/>
          <w:szCs w:val="20"/>
          <w:lang w:val="sl-SI"/>
        </w:rPr>
      </w:pPr>
    </w:p>
    <w:p w14:paraId="2A058BFD" w14:textId="183C06F8" w:rsidR="00F27BB0" w:rsidRDefault="00F27BB0" w:rsidP="00F27BB0">
      <w:pPr>
        <w:spacing w:line="276" w:lineRule="auto"/>
        <w:jc w:val="both"/>
        <w:rPr>
          <w:rFonts w:eastAsiaTheme="minorHAnsi" w:cs="Arial"/>
          <w:color w:val="000000"/>
          <w:szCs w:val="20"/>
          <w:lang w:val="sl-SI"/>
        </w:rPr>
      </w:pPr>
      <w:r w:rsidRPr="008B7464">
        <w:rPr>
          <w:rFonts w:eastAsiaTheme="minorHAnsi" w:cs="Arial"/>
          <w:color w:val="000000"/>
          <w:szCs w:val="20"/>
          <w:lang w:val="sl-SI"/>
        </w:rPr>
        <w:t>(</w:t>
      </w:r>
      <w:r w:rsidR="00CD4937">
        <w:rPr>
          <w:rFonts w:eastAsiaTheme="minorHAnsi" w:cs="Arial"/>
          <w:color w:val="000000"/>
          <w:szCs w:val="20"/>
          <w:lang w:val="sl-SI"/>
        </w:rPr>
        <w:t>3</w:t>
      </w:r>
      <w:r w:rsidRPr="008B7464">
        <w:rPr>
          <w:rFonts w:eastAsiaTheme="minorHAnsi" w:cs="Arial"/>
          <w:color w:val="000000"/>
          <w:szCs w:val="20"/>
          <w:lang w:val="sl-SI"/>
        </w:rPr>
        <w:t xml:space="preserve">) Površina </w:t>
      </w:r>
      <w:r w:rsidR="00CD4937">
        <w:rPr>
          <w:rFonts w:eastAsiaTheme="minorHAnsi" w:cs="Arial"/>
          <w:color w:val="000000"/>
          <w:szCs w:val="20"/>
          <w:lang w:val="sl-SI"/>
        </w:rPr>
        <w:t>spremembe prostorsko izvedbenih pogojev</w:t>
      </w:r>
      <w:r w:rsidR="001D2BFF">
        <w:rPr>
          <w:rFonts w:eastAsiaTheme="minorHAnsi" w:cs="Arial"/>
          <w:color w:val="000000"/>
          <w:szCs w:val="20"/>
          <w:lang w:val="sl-SI"/>
        </w:rPr>
        <w:t xml:space="preserve"> za namensko rabo prostora A – posamična poselitev</w:t>
      </w:r>
      <w:r w:rsidRPr="008B7464">
        <w:rPr>
          <w:rFonts w:eastAsiaTheme="minorHAnsi" w:cs="Arial"/>
          <w:color w:val="000000"/>
          <w:szCs w:val="20"/>
          <w:lang w:val="sl-SI"/>
        </w:rPr>
        <w:t xml:space="preserve"> zajema parcele št</w:t>
      </w:r>
      <w:r w:rsidR="001D2BFF">
        <w:rPr>
          <w:rFonts w:eastAsiaTheme="minorHAnsi" w:cs="Arial"/>
          <w:color w:val="000000"/>
          <w:szCs w:val="20"/>
          <w:lang w:val="sl-SI"/>
        </w:rPr>
        <w:t xml:space="preserve">. </w:t>
      </w:r>
      <w:r w:rsidR="00CD4937">
        <w:rPr>
          <w:rFonts w:eastAsiaTheme="minorHAnsi" w:cs="Arial"/>
          <w:color w:val="000000"/>
          <w:szCs w:val="20"/>
          <w:lang w:val="sl-SI"/>
        </w:rPr>
        <w:t xml:space="preserve">*135, 422/1(del), 422/2(del) in 422/3 (del), vse v </w:t>
      </w:r>
      <w:r w:rsidR="00CD4937" w:rsidRPr="008B7464">
        <w:rPr>
          <w:rFonts w:eastAsiaTheme="minorHAnsi" w:cs="Arial"/>
          <w:color w:val="000000"/>
          <w:szCs w:val="20"/>
          <w:lang w:val="sl-SI"/>
        </w:rPr>
        <w:t xml:space="preserve">k.o. </w:t>
      </w:r>
      <w:r w:rsidR="00CD4937">
        <w:rPr>
          <w:rFonts w:eastAsiaTheme="minorHAnsi" w:cs="Arial"/>
          <w:color w:val="000000"/>
          <w:szCs w:val="20"/>
          <w:lang w:val="sl-SI"/>
        </w:rPr>
        <w:t>2058 Dolenja Dobrava</w:t>
      </w:r>
      <w:r w:rsidRPr="008B7464">
        <w:rPr>
          <w:rFonts w:eastAsiaTheme="minorHAnsi" w:cs="Arial"/>
          <w:color w:val="000000"/>
          <w:szCs w:val="20"/>
          <w:lang w:val="sl-SI"/>
        </w:rPr>
        <w:t xml:space="preserve">, v skupni površini </w:t>
      </w:r>
      <w:r w:rsidR="00CD4937">
        <w:rPr>
          <w:rFonts w:eastAsiaTheme="minorHAnsi" w:cs="Arial"/>
          <w:color w:val="000000"/>
          <w:szCs w:val="20"/>
          <w:lang w:val="sl-SI"/>
        </w:rPr>
        <w:t>2.990,00</w:t>
      </w:r>
      <w:r w:rsidRPr="008B7464">
        <w:rPr>
          <w:rFonts w:eastAsiaTheme="minorHAnsi" w:cs="Arial"/>
          <w:color w:val="000000"/>
          <w:szCs w:val="20"/>
          <w:lang w:val="sl-SI"/>
        </w:rPr>
        <w:t xml:space="preserve"> m</w:t>
      </w:r>
      <w:r w:rsidRPr="003E09C6">
        <w:rPr>
          <w:rFonts w:eastAsiaTheme="minorHAnsi" w:cs="Arial"/>
          <w:color w:val="000000"/>
          <w:szCs w:val="20"/>
          <w:vertAlign w:val="superscript"/>
          <w:lang w:val="sl-SI"/>
        </w:rPr>
        <w:t>2</w:t>
      </w:r>
      <w:r w:rsidRPr="008B7464">
        <w:rPr>
          <w:rFonts w:eastAsiaTheme="minorHAnsi" w:cs="Arial"/>
          <w:color w:val="000000"/>
          <w:szCs w:val="20"/>
          <w:lang w:val="sl-SI"/>
        </w:rPr>
        <w:t xml:space="preserve">. </w:t>
      </w:r>
    </w:p>
    <w:p w14:paraId="31D8265A" w14:textId="77777777" w:rsidR="00F27BB0" w:rsidRPr="008B7464" w:rsidRDefault="00F27BB0" w:rsidP="00F27BB0">
      <w:pPr>
        <w:spacing w:line="276" w:lineRule="auto"/>
        <w:jc w:val="both"/>
        <w:rPr>
          <w:rFonts w:eastAsiaTheme="minorHAnsi" w:cs="Arial"/>
          <w:color w:val="000000"/>
          <w:szCs w:val="20"/>
          <w:lang w:val="sl-SI"/>
        </w:rPr>
      </w:pPr>
    </w:p>
    <w:p w14:paraId="0C183FDE" w14:textId="43583BCB" w:rsidR="00EE6F61" w:rsidRDefault="00F27BB0" w:rsidP="00F27BB0">
      <w:pPr>
        <w:spacing w:line="276" w:lineRule="auto"/>
        <w:jc w:val="both"/>
        <w:rPr>
          <w:rFonts w:eastAsiaTheme="minorHAnsi" w:cs="Arial"/>
          <w:color w:val="000000"/>
          <w:szCs w:val="20"/>
          <w:lang w:val="sl-SI"/>
        </w:rPr>
      </w:pPr>
      <w:r w:rsidRPr="008B7464">
        <w:rPr>
          <w:rFonts w:eastAsiaTheme="minorHAnsi" w:cs="Arial"/>
          <w:color w:val="000000"/>
          <w:szCs w:val="20"/>
          <w:lang w:val="sl-SI"/>
        </w:rPr>
        <w:t>(</w:t>
      </w:r>
      <w:r w:rsidR="001D2BFF">
        <w:rPr>
          <w:rFonts w:eastAsiaTheme="minorHAnsi" w:cs="Arial"/>
          <w:color w:val="000000"/>
          <w:szCs w:val="20"/>
          <w:lang w:val="sl-SI"/>
        </w:rPr>
        <w:t>4</w:t>
      </w:r>
      <w:r w:rsidRPr="008B7464">
        <w:rPr>
          <w:rFonts w:eastAsiaTheme="minorHAnsi" w:cs="Arial"/>
          <w:color w:val="000000"/>
          <w:szCs w:val="20"/>
          <w:lang w:val="sl-SI"/>
        </w:rPr>
        <w:t>) Območje širitve stavbnega zemljišča</w:t>
      </w:r>
      <w:r w:rsidR="001D2BFF">
        <w:rPr>
          <w:rFonts w:eastAsiaTheme="minorHAnsi" w:cs="Arial"/>
          <w:color w:val="000000"/>
          <w:szCs w:val="20"/>
          <w:lang w:val="sl-SI"/>
        </w:rPr>
        <w:t xml:space="preserve"> in spremembe prostorsko izvedbenih pogojev</w:t>
      </w:r>
      <w:r w:rsidRPr="008B7464">
        <w:rPr>
          <w:rFonts w:eastAsiaTheme="minorHAnsi" w:cs="Arial"/>
          <w:color w:val="000000"/>
          <w:szCs w:val="20"/>
          <w:lang w:val="sl-SI"/>
        </w:rPr>
        <w:t xml:space="preserve"> je prikazano v grafičnem delu sklepa o lokacijski preveritvi.</w:t>
      </w:r>
    </w:p>
    <w:p w14:paraId="196806AC" w14:textId="77777777" w:rsidR="00CC391F" w:rsidRDefault="00CC391F" w:rsidP="00F27BB0">
      <w:pPr>
        <w:spacing w:line="276" w:lineRule="auto"/>
        <w:jc w:val="both"/>
        <w:rPr>
          <w:rFonts w:eastAsiaTheme="minorHAnsi" w:cs="Arial"/>
          <w:color w:val="000000"/>
          <w:szCs w:val="20"/>
          <w:lang w:val="sl-SI"/>
        </w:rPr>
      </w:pPr>
    </w:p>
    <w:p w14:paraId="5BEC1A89" w14:textId="77777777" w:rsidR="001D2BFF" w:rsidRPr="008B7464" w:rsidRDefault="001D2BFF" w:rsidP="001D2BFF">
      <w:pPr>
        <w:numPr>
          <w:ilvl w:val="0"/>
          <w:numId w:val="1"/>
        </w:numPr>
        <w:spacing w:line="276" w:lineRule="auto"/>
        <w:contextualSpacing/>
        <w:jc w:val="center"/>
        <w:rPr>
          <w:rFonts w:eastAsiaTheme="minorHAnsi" w:cs="Arial"/>
          <w:color w:val="000000"/>
          <w:szCs w:val="20"/>
          <w:lang w:val="sl-SI"/>
        </w:rPr>
      </w:pPr>
      <w:r w:rsidRPr="008B7464">
        <w:rPr>
          <w:rFonts w:eastAsiaTheme="minorHAnsi" w:cs="Arial"/>
          <w:color w:val="000000"/>
          <w:szCs w:val="20"/>
          <w:lang w:val="sl-SI"/>
        </w:rPr>
        <w:t>člen</w:t>
      </w:r>
    </w:p>
    <w:p w14:paraId="0BC2D3FD" w14:textId="36AFDB87" w:rsidR="001D2BFF" w:rsidRDefault="001D2BFF" w:rsidP="001D2BFF">
      <w:pPr>
        <w:spacing w:line="276" w:lineRule="auto"/>
        <w:ind w:left="720"/>
        <w:contextualSpacing/>
        <w:jc w:val="center"/>
        <w:rPr>
          <w:rFonts w:eastAsiaTheme="minorHAnsi" w:cs="Arial"/>
          <w:color w:val="000000"/>
          <w:szCs w:val="20"/>
          <w:lang w:val="sl-SI"/>
        </w:rPr>
      </w:pPr>
      <w:r w:rsidRPr="008B7464">
        <w:rPr>
          <w:rFonts w:eastAsiaTheme="minorHAnsi" w:cs="Arial"/>
          <w:color w:val="000000"/>
          <w:szCs w:val="20"/>
          <w:lang w:val="sl-SI"/>
        </w:rPr>
        <w:t xml:space="preserve">(sprememba </w:t>
      </w:r>
      <w:r>
        <w:rPr>
          <w:rFonts w:eastAsiaTheme="minorHAnsi" w:cs="Arial"/>
          <w:color w:val="000000"/>
          <w:szCs w:val="20"/>
          <w:lang w:val="sl-SI"/>
        </w:rPr>
        <w:t>prostorsko izvedbenih pogojev</w:t>
      </w:r>
      <w:r w:rsidRPr="008B7464">
        <w:rPr>
          <w:rFonts w:eastAsiaTheme="minorHAnsi" w:cs="Arial"/>
          <w:color w:val="000000"/>
          <w:szCs w:val="20"/>
          <w:lang w:val="sl-SI"/>
        </w:rPr>
        <w:t>)</w:t>
      </w:r>
    </w:p>
    <w:p w14:paraId="4C4B38B2" w14:textId="77777777" w:rsidR="001D2BFF" w:rsidRPr="008B7464" w:rsidRDefault="001D2BFF" w:rsidP="001D2BFF">
      <w:pPr>
        <w:spacing w:line="276" w:lineRule="auto"/>
        <w:ind w:left="720"/>
        <w:contextualSpacing/>
        <w:jc w:val="center"/>
        <w:rPr>
          <w:rFonts w:eastAsiaTheme="minorHAnsi" w:cs="Arial"/>
          <w:color w:val="000000"/>
          <w:szCs w:val="20"/>
          <w:lang w:val="sl-SI"/>
        </w:rPr>
      </w:pPr>
    </w:p>
    <w:p w14:paraId="46417B74" w14:textId="2B2C80C9" w:rsidR="001D2BFF" w:rsidRDefault="001D2BFF" w:rsidP="001D2BFF">
      <w:pPr>
        <w:spacing w:line="276" w:lineRule="auto"/>
        <w:jc w:val="both"/>
        <w:rPr>
          <w:rFonts w:eastAsiaTheme="minorHAnsi" w:cs="Arial"/>
          <w:color w:val="000000"/>
          <w:szCs w:val="20"/>
          <w:lang w:val="sl-SI"/>
        </w:rPr>
      </w:pPr>
      <w:r w:rsidRPr="008B7464">
        <w:rPr>
          <w:rFonts w:eastAsiaTheme="minorHAnsi" w:cs="Arial"/>
          <w:color w:val="000000"/>
          <w:szCs w:val="20"/>
          <w:lang w:val="sl-SI"/>
        </w:rPr>
        <w:t xml:space="preserve">(1) </w:t>
      </w:r>
      <w:r>
        <w:rPr>
          <w:rFonts w:eastAsiaTheme="minorHAnsi" w:cs="Arial"/>
          <w:color w:val="000000"/>
          <w:szCs w:val="20"/>
          <w:lang w:val="sl-SI"/>
        </w:rPr>
        <w:t>Na območju lokacijske preveritve iz tretje</w:t>
      </w:r>
      <w:r w:rsidR="004772EF">
        <w:rPr>
          <w:rFonts w:eastAsiaTheme="minorHAnsi" w:cs="Arial"/>
          <w:color w:val="000000"/>
          <w:szCs w:val="20"/>
          <w:lang w:val="sl-SI"/>
        </w:rPr>
        <w:t>ga odstavka</w:t>
      </w:r>
      <w:r>
        <w:rPr>
          <w:rFonts w:eastAsiaTheme="minorHAnsi" w:cs="Arial"/>
          <w:color w:val="000000"/>
          <w:szCs w:val="20"/>
          <w:lang w:val="sl-SI"/>
        </w:rPr>
        <w:t xml:space="preserve"> </w:t>
      </w:r>
      <w:r w:rsidR="00EE6F61">
        <w:rPr>
          <w:rFonts w:eastAsiaTheme="minorHAnsi" w:cs="Arial"/>
          <w:color w:val="000000"/>
          <w:szCs w:val="20"/>
          <w:lang w:val="sl-SI"/>
        </w:rPr>
        <w:t>2</w:t>
      </w:r>
      <w:r>
        <w:rPr>
          <w:rFonts w:eastAsiaTheme="minorHAnsi" w:cs="Arial"/>
          <w:color w:val="000000"/>
          <w:szCs w:val="20"/>
          <w:lang w:val="sl-SI"/>
        </w:rPr>
        <w:t xml:space="preserve">. člena tega sklepa se dopusti </w:t>
      </w:r>
      <w:r w:rsidRPr="001D2BFF">
        <w:rPr>
          <w:rFonts w:eastAsiaTheme="minorHAnsi" w:cs="Arial"/>
          <w:color w:val="000000"/>
          <w:szCs w:val="20"/>
          <w:lang w:val="sl-SI"/>
        </w:rPr>
        <w:t>individualno odstopanje od prostorsko izvedbenih pogojev OPN za območje EUP GOD-14/5 z namensko rabo A, k</w:t>
      </w:r>
      <w:r>
        <w:rPr>
          <w:rFonts w:eastAsiaTheme="minorHAnsi" w:cs="Arial"/>
          <w:color w:val="000000"/>
          <w:szCs w:val="20"/>
          <w:lang w:val="sl-SI"/>
        </w:rPr>
        <w:t>ot</w:t>
      </w:r>
      <w:r w:rsidRPr="001D2BFF">
        <w:rPr>
          <w:rFonts w:eastAsiaTheme="minorHAnsi" w:cs="Arial"/>
          <w:color w:val="000000"/>
          <w:szCs w:val="20"/>
          <w:lang w:val="sl-SI"/>
        </w:rPr>
        <w:t xml:space="preserve"> je določeno v nadaljevanju tega člena.</w:t>
      </w:r>
    </w:p>
    <w:p w14:paraId="1E46AD1B" w14:textId="77777777" w:rsidR="00EE6F61" w:rsidRDefault="00EE6F61" w:rsidP="001D2BFF">
      <w:pPr>
        <w:spacing w:line="276" w:lineRule="auto"/>
        <w:jc w:val="both"/>
        <w:rPr>
          <w:rFonts w:eastAsiaTheme="minorHAnsi" w:cs="Arial"/>
          <w:color w:val="000000"/>
          <w:szCs w:val="20"/>
          <w:lang w:val="sl-SI"/>
        </w:rPr>
      </w:pPr>
    </w:p>
    <w:p w14:paraId="466DD8B0" w14:textId="4D250225" w:rsidR="000D2F72" w:rsidRPr="00B66999" w:rsidRDefault="000D2F72" w:rsidP="001D2BFF">
      <w:pPr>
        <w:spacing w:line="276" w:lineRule="auto"/>
        <w:jc w:val="both"/>
        <w:rPr>
          <w:rFonts w:eastAsiaTheme="minorHAnsi" w:cs="Arial"/>
          <w:szCs w:val="20"/>
          <w:lang w:val="sl-SI"/>
        </w:rPr>
      </w:pPr>
      <w:r>
        <w:rPr>
          <w:rFonts w:eastAsiaTheme="minorHAnsi" w:cs="Arial"/>
          <w:color w:val="000000"/>
          <w:szCs w:val="20"/>
          <w:lang w:val="sl-SI"/>
        </w:rPr>
        <w:lastRenderedPageBreak/>
        <w:t xml:space="preserve">(2) </w:t>
      </w:r>
      <w:r w:rsidR="005D10DF">
        <w:rPr>
          <w:rFonts w:eastAsiaTheme="minorHAnsi" w:cs="Arial"/>
          <w:color w:val="000000"/>
          <w:szCs w:val="20"/>
          <w:lang w:val="sl-SI"/>
        </w:rPr>
        <w:t xml:space="preserve">Poleg gradnje stanovanjskega objekta se dopusti gradnja pripadajočih objektov kmetije (gospodarskega objekta in dveh kozolcev). Dopustna etažnost gospodarskega objekta je K+P z možnostjo izrabe podstrešja, pri čemer mora biti </w:t>
      </w:r>
      <w:r w:rsidR="005734A1">
        <w:rPr>
          <w:rFonts w:eastAsiaTheme="minorHAnsi" w:cs="Arial"/>
          <w:color w:val="000000"/>
          <w:szCs w:val="20"/>
          <w:lang w:val="sl-SI"/>
        </w:rPr>
        <w:t xml:space="preserve">severna stranica objekta v celoti vkopana. Višina </w:t>
      </w:r>
      <w:r w:rsidR="005734A1" w:rsidRPr="00B66999">
        <w:rPr>
          <w:rFonts w:eastAsiaTheme="minorHAnsi" w:cs="Arial"/>
          <w:szCs w:val="20"/>
          <w:lang w:val="sl-SI"/>
        </w:rPr>
        <w:t xml:space="preserve">objekta ni predpisana. </w:t>
      </w:r>
      <w:bookmarkStart w:id="0" w:name="_Hlk178250658"/>
      <w:r w:rsidRPr="00B66999">
        <w:rPr>
          <w:rFonts w:eastAsiaTheme="minorHAnsi" w:cs="Arial"/>
          <w:szCs w:val="20"/>
          <w:lang w:val="sl-SI"/>
        </w:rPr>
        <w:t xml:space="preserve">Oblikovanje streh </w:t>
      </w:r>
      <w:r w:rsidR="000E5EBB" w:rsidRPr="00B66999">
        <w:rPr>
          <w:rFonts w:eastAsiaTheme="minorHAnsi" w:cs="Arial"/>
          <w:szCs w:val="20"/>
          <w:lang w:val="sl-SI"/>
        </w:rPr>
        <w:t>kozolcev se</w:t>
      </w:r>
      <w:r w:rsidRPr="00B66999">
        <w:rPr>
          <w:rFonts w:eastAsiaTheme="minorHAnsi" w:cs="Arial"/>
          <w:szCs w:val="20"/>
          <w:lang w:val="sl-SI"/>
        </w:rPr>
        <w:t xml:space="preserve"> lahko</w:t>
      </w:r>
      <w:r w:rsidR="000E5EBB" w:rsidRPr="00B66999">
        <w:rPr>
          <w:rFonts w:eastAsiaTheme="minorHAnsi" w:cs="Arial"/>
          <w:szCs w:val="20"/>
          <w:lang w:val="sl-SI"/>
        </w:rPr>
        <w:t xml:space="preserve"> ohrani v izvorni obliki</w:t>
      </w:r>
      <w:r w:rsidR="00B66999" w:rsidRPr="00B66999">
        <w:rPr>
          <w:rFonts w:eastAsiaTheme="minorHAnsi" w:cs="Arial"/>
          <w:szCs w:val="20"/>
          <w:lang w:val="sl-SI"/>
        </w:rPr>
        <w:t xml:space="preserve"> z naklonom strešin 37°.</w:t>
      </w:r>
      <w:r w:rsidRPr="00B66999">
        <w:rPr>
          <w:rFonts w:eastAsiaTheme="minorHAnsi" w:cs="Arial"/>
          <w:szCs w:val="20"/>
          <w:lang w:val="sl-SI"/>
        </w:rPr>
        <w:t xml:space="preserve"> </w:t>
      </w:r>
    </w:p>
    <w:p w14:paraId="45764232" w14:textId="77777777" w:rsidR="00924064" w:rsidRPr="00B66999" w:rsidRDefault="00924064" w:rsidP="00924064">
      <w:pPr>
        <w:spacing w:line="276" w:lineRule="auto"/>
        <w:jc w:val="both"/>
        <w:rPr>
          <w:rFonts w:eastAsiaTheme="minorHAnsi" w:cs="Arial"/>
          <w:szCs w:val="20"/>
          <w:lang w:val="sl-SI"/>
        </w:rPr>
      </w:pPr>
    </w:p>
    <w:p w14:paraId="64D6415E" w14:textId="65556FF1" w:rsidR="00924064" w:rsidRPr="00B66999" w:rsidRDefault="00924064" w:rsidP="00924064">
      <w:pPr>
        <w:spacing w:line="276" w:lineRule="auto"/>
        <w:jc w:val="both"/>
        <w:rPr>
          <w:rFonts w:eastAsiaTheme="minorHAnsi" w:cs="Arial"/>
          <w:iCs/>
          <w:szCs w:val="20"/>
          <w:lang w:val="sl-SI"/>
        </w:rPr>
      </w:pPr>
      <w:r w:rsidRPr="00B66999">
        <w:rPr>
          <w:rFonts w:eastAsiaTheme="minorHAnsi" w:cs="Arial"/>
          <w:szCs w:val="20"/>
          <w:lang w:val="sl-SI"/>
        </w:rPr>
        <w:t>(</w:t>
      </w:r>
      <w:r w:rsidR="00B66999" w:rsidRPr="00B66999">
        <w:rPr>
          <w:rFonts w:eastAsiaTheme="minorHAnsi" w:cs="Arial"/>
          <w:szCs w:val="20"/>
          <w:lang w:val="sl-SI"/>
        </w:rPr>
        <w:t>3</w:t>
      </w:r>
      <w:r w:rsidRPr="00B66999">
        <w:rPr>
          <w:rFonts w:eastAsiaTheme="minorHAnsi" w:cs="Arial"/>
          <w:szCs w:val="20"/>
          <w:lang w:val="sl-SI"/>
        </w:rPr>
        <w:t xml:space="preserve">) </w:t>
      </w:r>
      <w:bookmarkStart w:id="1" w:name="_Hlk181696344"/>
      <w:r w:rsidRPr="00B66999">
        <w:rPr>
          <w:rFonts w:eastAsiaTheme="minorHAnsi" w:cs="Arial"/>
          <w:iCs/>
          <w:szCs w:val="20"/>
          <w:lang w:val="sl-SI"/>
        </w:rPr>
        <w:t>Pri gradnji</w:t>
      </w:r>
      <w:r w:rsidR="00B66999" w:rsidRPr="00B66999">
        <w:rPr>
          <w:rFonts w:eastAsiaTheme="minorHAnsi" w:cs="Arial"/>
          <w:iCs/>
          <w:szCs w:val="20"/>
          <w:lang w:val="sl-SI"/>
        </w:rPr>
        <w:t xml:space="preserve"> objektov iz </w:t>
      </w:r>
      <w:r w:rsidR="004772EF">
        <w:rPr>
          <w:rFonts w:eastAsiaTheme="minorHAnsi" w:cs="Arial"/>
          <w:iCs/>
          <w:szCs w:val="20"/>
          <w:lang w:val="sl-SI"/>
        </w:rPr>
        <w:t>drugega odstavka</w:t>
      </w:r>
      <w:r w:rsidR="00B66999" w:rsidRPr="00B66999">
        <w:rPr>
          <w:rFonts w:eastAsiaTheme="minorHAnsi" w:cs="Arial"/>
          <w:iCs/>
          <w:szCs w:val="20"/>
          <w:lang w:val="sl-SI"/>
        </w:rPr>
        <w:t xml:space="preserve"> tega člena</w:t>
      </w:r>
      <w:r w:rsidRPr="00B66999">
        <w:rPr>
          <w:rFonts w:eastAsiaTheme="minorHAnsi" w:cs="Arial"/>
          <w:iCs/>
          <w:szCs w:val="20"/>
          <w:lang w:val="sl-SI"/>
        </w:rPr>
        <w:t xml:space="preserve"> je treba upoštevati izdelano geološko geomehansko poročilo z oceno možnosti gradnje, ki ga je pod št. 05</w:t>
      </w:r>
      <w:r w:rsidR="00430682" w:rsidRPr="00B66999">
        <w:rPr>
          <w:rFonts w:eastAsiaTheme="minorHAnsi" w:cs="Arial"/>
          <w:iCs/>
          <w:szCs w:val="20"/>
          <w:lang w:val="sl-SI"/>
        </w:rPr>
        <w:t>90</w:t>
      </w:r>
      <w:r w:rsidRPr="00B66999">
        <w:rPr>
          <w:rFonts w:eastAsiaTheme="minorHAnsi" w:cs="Arial"/>
          <w:iCs/>
          <w:szCs w:val="20"/>
          <w:lang w:val="sl-SI"/>
        </w:rPr>
        <w:t>-</w:t>
      </w:r>
      <w:r w:rsidR="00430682" w:rsidRPr="00B66999">
        <w:rPr>
          <w:rFonts w:eastAsiaTheme="minorHAnsi" w:cs="Arial"/>
          <w:iCs/>
          <w:szCs w:val="20"/>
          <w:lang w:val="sl-SI"/>
        </w:rPr>
        <w:t>113</w:t>
      </w:r>
      <w:r w:rsidRPr="00B66999">
        <w:rPr>
          <w:rFonts w:eastAsiaTheme="minorHAnsi" w:cs="Arial"/>
          <w:iCs/>
          <w:szCs w:val="20"/>
          <w:lang w:val="sl-SI"/>
        </w:rPr>
        <w:t xml:space="preserve">/2024 v </w:t>
      </w:r>
      <w:r w:rsidR="00430682" w:rsidRPr="00B66999">
        <w:rPr>
          <w:rFonts w:eastAsiaTheme="minorHAnsi" w:cs="Arial"/>
          <w:iCs/>
          <w:szCs w:val="20"/>
          <w:lang w:val="sl-SI"/>
        </w:rPr>
        <w:t xml:space="preserve">juniju </w:t>
      </w:r>
      <w:r w:rsidRPr="00B66999">
        <w:rPr>
          <w:rFonts w:eastAsiaTheme="minorHAnsi" w:cs="Arial"/>
          <w:iCs/>
          <w:szCs w:val="20"/>
          <w:lang w:val="sl-SI"/>
        </w:rPr>
        <w:t>2024 izdelalo Geološko projektiranje d.o.o. in v njem predvidene ukrepe</w:t>
      </w:r>
      <w:r w:rsidR="006340C2" w:rsidRPr="00B66999">
        <w:rPr>
          <w:rFonts w:eastAsiaTheme="minorHAnsi" w:cs="Arial"/>
          <w:iCs/>
          <w:szCs w:val="20"/>
          <w:lang w:val="sl-SI"/>
        </w:rPr>
        <w:t>:</w:t>
      </w:r>
    </w:p>
    <w:p w14:paraId="14ACCF64" w14:textId="677015B6" w:rsidR="006340C2" w:rsidRPr="00B66999" w:rsidRDefault="006340C2"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stanovanjski objekt se temelji na temeljni plošči, pri čemer se izkop poglobi do kompaktne kamninske podlage. Neravno podlago se uravna s podloženim betonom ali s tamponskim slojem. V nivoju temeljev se uredi drenažo;</w:t>
      </w:r>
    </w:p>
    <w:p w14:paraId="1332F6E3" w14:textId="5CDFAF4D" w:rsidR="006340C2" w:rsidRPr="00B66999" w:rsidRDefault="006340C2"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gospodarski ob</w:t>
      </w:r>
      <w:r w:rsidR="00863977" w:rsidRPr="00B66999">
        <w:rPr>
          <w:rFonts w:eastAsiaTheme="minorHAnsi" w:cs="Arial"/>
          <w:iCs/>
          <w:szCs w:val="20"/>
          <w:lang w:val="sl-SI"/>
        </w:rPr>
        <w:t>jekt</w:t>
      </w:r>
      <w:r w:rsidR="00374D54" w:rsidRPr="00B66999">
        <w:rPr>
          <w:rFonts w:eastAsiaTheme="minorHAnsi" w:cs="Arial"/>
          <w:iCs/>
          <w:szCs w:val="20"/>
          <w:lang w:val="sl-SI"/>
        </w:rPr>
        <w:t xml:space="preserve"> in večji podkleten kozolec </w:t>
      </w:r>
      <w:r w:rsidR="00863977" w:rsidRPr="00B66999">
        <w:rPr>
          <w:rFonts w:eastAsiaTheme="minorHAnsi" w:cs="Arial"/>
          <w:iCs/>
          <w:szCs w:val="20"/>
          <w:lang w:val="sl-SI"/>
        </w:rPr>
        <w:t xml:space="preserve">se </w:t>
      </w:r>
      <w:r w:rsidR="00390FBA" w:rsidRPr="00B66999">
        <w:rPr>
          <w:rFonts w:eastAsiaTheme="minorHAnsi" w:cs="Arial"/>
          <w:iCs/>
          <w:szCs w:val="20"/>
          <w:lang w:val="sl-SI"/>
        </w:rPr>
        <w:t>temeljita</w:t>
      </w:r>
      <w:r w:rsidR="00863977" w:rsidRPr="00B66999">
        <w:rPr>
          <w:rFonts w:eastAsiaTheme="minorHAnsi" w:cs="Arial"/>
          <w:iCs/>
          <w:szCs w:val="20"/>
          <w:lang w:val="sl-SI"/>
        </w:rPr>
        <w:t xml:space="preserve"> v raščeno kamninsko podlago, ki se izvede z ustrezno premostitvijo</w:t>
      </w:r>
      <w:r w:rsidR="004716BD" w:rsidRPr="00B66999">
        <w:rPr>
          <w:rFonts w:eastAsiaTheme="minorHAnsi" w:cs="Arial"/>
          <w:iCs/>
          <w:szCs w:val="20"/>
          <w:lang w:val="sl-SI"/>
        </w:rPr>
        <w:t>, kot izhaja iz geomehanskega poročila</w:t>
      </w:r>
      <w:r w:rsidR="00374D54" w:rsidRPr="00B66999">
        <w:rPr>
          <w:rFonts w:eastAsiaTheme="minorHAnsi" w:cs="Arial"/>
          <w:iCs/>
          <w:szCs w:val="20"/>
          <w:lang w:val="sl-SI"/>
        </w:rPr>
        <w:t>;</w:t>
      </w:r>
    </w:p>
    <w:p w14:paraId="3E7E686A" w14:textId="649F66B1" w:rsidR="00C45C45" w:rsidRPr="00B66999" w:rsidRDefault="00374D54"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pri manjšem kozolcu se vse morebitne podporne in oporne zidove izvede kot armiranobetonske konstrukcije, dimenzionirane na zemeljski pritisk</w:t>
      </w:r>
      <w:r w:rsidR="00390FBA" w:rsidRPr="00B66999">
        <w:rPr>
          <w:rFonts w:eastAsiaTheme="minorHAnsi" w:cs="Arial"/>
          <w:iCs/>
          <w:szCs w:val="20"/>
          <w:lang w:val="sl-SI"/>
        </w:rPr>
        <w:t>;</w:t>
      </w:r>
    </w:p>
    <w:p w14:paraId="6DEF76C3" w14:textId="03E52D60" w:rsidR="00C45C45" w:rsidRPr="00B66999" w:rsidRDefault="00C45C45"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 xml:space="preserve">nezavarovane začasne </w:t>
      </w:r>
      <w:proofErr w:type="spellStart"/>
      <w:r w:rsidRPr="00B66999">
        <w:rPr>
          <w:rFonts w:eastAsiaTheme="minorHAnsi" w:cs="Arial"/>
          <w:iCs/>
          <w:szCs w:val="20"/>
          <w:lang w:val="sl-SI"/>
        </w:rPr>
        <w:t>vkopne</w:t>
      </w:r>
      <w:proofErr w:type="spellEnd"/>
      <w:r w:rsidRPr="00B66999">
        <w:rPr>
          <w:rFonts w:eastAsiaTheme="minorHAnsi" w:cs="Arial"/>
          <w:iCs/>
          <w:szCs w:val="20"/>
          <w:lang w:val="sl-SI"/>
        </w:rPr>
        <w:t xml:space="preserve"> brežine se izvedejo v naklonu do 1:1, razen v kamninski podlagi, kjer je lahko izkop v naklonu do 2:1. V primeru, da zaradi pomanjkanj prostora izvedba takšnih naklonov ni mogoča, je potrebno predvideti začasno varovanje izkopne brežine;</w:t>
      </w:r>
    </w:p>
    <w:p w14:paraId="4F6CA9B3" w14:textId="19B450FC" w:rsidR="00C45C45" w:rsidRPr="00B66999" w:rsidRDefault="004772EF" w:rsidP="00DC789E">
      <w:pPr>
        <w:pStyle w:val="Odstavekseznama"/>
        <w:numPr>
          <w:ilvl w:val="0"/>
          <w:numId w:val="5"/>
        </w:numPr>
        <w:spacing w:line="276" w:lineRule="auto"/>
        <w:ind w:left="284" w:hanging="284"/>
        <w:jc w:val="both"/>
        <w:rPr>
          <w:rFonts w:eastAsiaTheme="minorHAnsi" w:cs="Arial"/>
          <w:iCs/>
          <w:szCs w:val="20"/>
          <w:lang w:val="sl-SI"/>
        </w:rPr>
      </w:pPr>
      <w:r>
        <w:rPr>
          <w:rFonts w:eastAsiaTheme="minorHAnsi" w:cs="Arial"/>
          <w:iCs/>
          <w:szCs w:val="20"/>
          <w:lang w:val="sl-SI"/>
        </w:rPr>
        <w:t>v</w:t>
      </w:r>
      <w:r w:rsidR="00C45C45" w:rsidRPr="00B66999">
        <w:rPr>
          <w:rFonts w:eastAsiaTheme="minorHAnsi" w:cs="Arial"/>
          <w:iCs/>
          <w:szCs w:val="20"/>
          <w:lang w:val="sl-SI"/>
        </w:rPr>
        <w:t>se nasipne brežine se izdela v naklonskem razmerju 2:3 (34°). Peto nasipa je potrebno ustrezno utrditi, tako da ne bo prišlo do zdrsa nasipa po pobočju navzdol. S celotnega območja je potrebno kontrolirano odvajati meteorne vode, tako da le te ne stekajo  v telo nasipa. Izdelan nasip je potrebno čim prej prekriti s humusom in ga zatraviti</w:t>
      </w:r>
      <w:r w:rsidR="00390FBA" w:rsidRPr="00B66999">
        <w:rPr>
          <w:rFonts w:eastAsiaTheme="minorHAnsi" w:cs="Arial"/>
          <w:iCs/>
          <w:szCs w:val="20"/>
          <w:lang w:val="sl-SI"/>
        </w:rPr>
        <w:t>;</w:t>
      </w:r>
    </w:p>
    <w:p w14:paraId="41C2D7BB" w14:textId="19C7596B" w:rsidR="006340C2" w:rsidRPr="00B66999" w:rsidRDefault="00924064"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okrog vseh temeljev se predvidi drena</w:t>
      </w:r>
      <w:r w:rsidRPr="00B66999">
        <w:rPr>
          <w:rFonts w:eastAsiaTheme="minorHAnsi" w:cs="Arial" w:hint="eastAsia"/>
          <w:iCs/>
          <w:szCs w:val="20"/>
          <w:lang w:val="sl-SI"/>
        </w:rPr>
        <w:t>ž</w:t>
      </w:r>
      <w:r w:rsidRPr="00B66999">
        <w:rPr>
          <w:rFonts w:eastAsiaTheme="minorHAnsi" w:cs="Arial"/>
          <w:iCs/>
          <w:szCs w:val="20"/>
          <w:lang w:val="sl-SI"/>
        </w:rPr>
        <w:t>a (podlo</w:t>
      </w:r>
      <w:r w:rsidRPr="00B66999">
        <w:rPr>
          <w:rFonts w:eastAsiaTheme="minorHAnsi" w:cs="Arial" w:hint="eastAsia"/>
          <w:iCs/>
          <w:szCs w:val="20"/>
          <w:lang w:val="sl-SI"/>
        </w:rPr>
        <w:t>ž</w:t>
      </w:r>
      <w:r w:rsidRPr="00B66999">
        <w:rPr>
          <w:rFonts w:eastAsiaTheme="minorHAnsi" w:cs="Arial"/>
          <w:iCs/>
          <w:szCs w:val="20"/>
          <w:lang w:val="sl-SI"/>
        </w:rPr>
        <w:t>ni beton, drena</w:t>
      </w:r>
      <w:r w:rsidRPr="00B66999">
        <w:rPr>
          <w:rFonts w:eastAsiaTheme="minorHAnsi" w:cs="Arial" w:hint="eastAsia"/>
          <w:iCs/>
          <w:szCs w:val="20"/>
          <w:lang w:val="sl-SI"/>
        </w:rPr>
        <w:t>ž</w:t>
      </w:r>
      <w:r w:rsidRPr="00B66999">
        <w:rPr>
          <w:rFonts w:eastAsiaTheme="minorHAnsi" w:cs="Arial"/>
          <w:iCs/>
          <w:szCs w:val="20"/>
          <w:lang w:val="sl-SI"/>
        </w:rPr>
        <w:t>na cev fi</w:t>
      </w:r>
      <w:r w:rsidR="004772EF">
        <w:rPr>
          <w:rFonts w:eastAsiaTheme="minorHAnsi" w:cs="Arial"/>
          <w:iCs/>
          <w:szCs w:val="20"/>
          <w:lang w:val="sl-SI"/>
        </w:rPr>
        <w:t xml:space="preserve"> </w:t>
      </w:r>
      <w:r w:rsidRPr="00B66999">
        <w:rPr>
          <w:rFonts w:eastAsiaTheme="minorHAnsi" w:cs="Arial"/>
          <w:iCs/>
          <w:szCs w:val="20"/>
          <w:lang w:val="sl-SI"/>
        </w:rPr>
        <w:t>100 do fi 150, drena</w:t>
      </w:r>
      <w:r w:rsidRPr="00B66999">
        <w:rPr>
          <w:rFonts w:eastAsiaTheme="minorHAnsi" w:cs="Arial" w:hint="eastAsia"/>
          <w:iCs/>
          <w:szCs w:val="20"/>
          <w:lang w:val="sl-SI"/>
        </w:rPr>
        <w:t>ž</w:t>
      </w:r>
      <w:r w:rsidRPr="00B66999">
        <w:rPr>
          <w:rFonts w:eastAsiaTheme="minorHAnsi" w:cs="Arial"/>
          <w:iCs/>
          <w:szCs w:val="20"/>
          <w:lang w:val="sl-SI"/>
        </w:rPr>
        <w:t>ni zasip ovit s filcem)</w:t>
      </w:r>
      <w:r w:rsidR="00390FBA" w:rsidRPr="00B66999">
        <w:rPr>
          <w:rFonts w:eastAsiaTheme="minorHAnsi" w:cs="Arial"/>
          <w:iCs/>
          <w:szCs w:val="20"/>
          <w:lang w:val="sl-SI"/>
        </w:rPr>
        <w:t>;</w:t>
      </w:r>
    </w:p>
    <w:p w14:paraId="51E8380E" w14:textId="745C2713" w:rsidR="00924064" w:rsidRPr="00B66999" w:rsidRDefault="00390FBA"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 xml:space="preserve">ponikanje vode na območju ni dopustno; </w:t>
      </w:r>
      <w:r w:rsidR="006340C2" w:rsidRPr="00B66999">
        <w:rPr>
          <w:rFonts w:eastAsiaTheme="minorHAnsi" w:cs="Arial"/>
          <w:iCs/>
          <w:szCs w:val="20"/>
          <w:lang w:val="sl-SI"/>
        </w:rPr>
        <w:t>v</w:t>
      </w:r>
      <w:r w:rsidR="00924064" w:rsidRPr="00B66999">
        <w:rPr>
          <w:rFonts w:eastAsiaTheme="minorHAnsi" w:cs="Arial"/>
          <w:iCs/>
          <w:szCs w:val="20"/>
          <w:lang w:val="sl-SI"/>
        </w:rPr>
        <w:t>se padavinske vode in vode iz drena</w:t>
      </w:r>
      <w:r w:rsidR="00924064" w:rsidRPr="00B66999">
        <w:rPr>
          <w:rFonts w:eastAsiaTheme="minorHAnsi" w:cs="Arial" w:hint="eastAsia"/>
          <w:iCs/>
          <w:szCs w:val="20"/>
          <w:lang w:val="sl-SI"/>
        </w:rPr>
        <w:t>ž</w:t>
      </w:r>
      <w:r w:rsidR="00924064" w:rsidRPr="00B66999">
        <w:rPr>
          <w:rFonts w:eastAsiaTheme="minorHAnsi" w:cs="Arial"/>
          <w:iCs/>
          <w:szCs w:val="20"/>
          <w:lang w:val="sl-SI"/>
        </w:rPr>
        <w:t xml:space="preserve">e se kontrolirano </w:t>
      </w:r>
      <w:r w:rsidRPr="00B66999">
        <w:rPr>
          <w:rFonts w:eastAsiaTheme="minorHAnsi" w:cs="Arial"/>
          <w:iCs/>
          <w:szCs w:val="20"/>
          <w:lang w:val="sl-SI"/>
        </w:rPr>
        <w:t xml:space="preserve">nepropustno </w:t>
      </w:r>
      <w:r w:rsidR="00924064" w:rsidRPr="00B66999">
        <w:rPr>
          <w:rFonts w:eastAsiaTheme="minorHAnsi" w:cs="Arial"/>
          <w:iCs/>
          <w:szCs w:val="20"/>
          <w:lang w:val="sl-SI"/>
        </w:rPr>
        <w:t xml:space="preserve">odvaja </w:t>
      </w:r>
      <w:r w:rsidRPr="00B66999">
        <w:rPr>
          <w:rFonts w:eastAsiaTheme="minorHAnsi" w:cs="Arial"/>
          <w:iCs/>
          <w:szCs w:val="20"/>
          <w:lang w:val="sl-SI"/>
        </w:rPr>
        <w:t>stran od objektov v površinski odvodnik;</w:t>
      </w:r>
    </w:p>
    <w:p w14:paraId="54BB418F" w14:textId="3170EE17" w:rsidR="00924064" w:rsidRPr="00B66999" w:rsidRDefault="00924064" w:rsidP="00DC789E">
      <w:pPr>
        <w:pStyle w:val="Odstavekseznama"/>
        <w:numPr>
          <w:ilvl w:val="0"/>
          <w:numId w:val="5"/>
        </w:numPr>
        <w:spacing w:line="276" w:lineRule="auto"/>
        <w:ind w:left="284" w:hanging="284"/>
        <w:jc w:val="both"/>
        <w:rPr>
          <w:rFonts w:eastAsiaTheme="minorHAnsi" w:cs="Arial"/>
          <w:iCs/>
          <w:szCs w:val="20"/>
          <w:lang w:val="sl-SI"/>
        </w:rPr>
      </w:pPr>
      <w:r w:rsidRPr="00B66999">
        <w:rPr>
          <w:rFonts w:eastAsiaTheme="minorHAnsi" w:cs="Arial"/>
          <w:iCs/>
          <w:szCs w:val="20"/>
          <w:lang w:val="sl-SI"/>
        </w:rPr>
        <w:t xml:space="preserve">pogoje temeljenja, nasipov in </w:t>
      </w:r>
      <w:proofErr w:type="spellStart"/>
      <w:r w:rsidRPr="00B66999">
        <w:rPr>
          <w:rFonts w:eastAsiaTheme="minorHAnsi" w:cs="Arial"/>
          <w:iCs/>
          <w:szCs w:val="20"/>
          <w:lang w:val="sl-SI"/>
        </w:rPr>
        <w:t>vkopnih</w:t>
      </w:r>
      <w:proofErr w:type="spellEnd"/>
      <w:r w:rsidRPr="00B66999">
        <w:rPr>
          <w:rFonts w:eastAsiaTheme="minorHAnsi" w:cs="Arial"/>
          <w:iCs/>
          <w:szCs w:val="20"/>
          <w:lang w:val="sl-SI"/>
        </w:rPr>
        <w:t xml:space="preserve"> bre</w:t>
      </w:r>
      <w:r w:rsidRPr="00B66999">
        <w:rPr>
          <w:rFonts w:eastAsiaTheme="minorHAnsi" w:cs="Arial" w:hint="eastAsia"/>
          <w:iCs/>
          <w:szCs w:val="20"/>
          <w:lang w:val="sl-SI"/>
        </w:rPr>
        <w:t>ž</w:t>
      </w:r>
      <w:r w:rsidRPr="00B66999">
        <w:rPr>
          <w:rFonts w:eastAsiaTheme="minorHAnsi" w:cs="Arial"/>
          <w:iCs/>
          <w:szCs w:val="20"/>
          <w:lang w:val="sl-SI"/>
        </w:rPr>
        <w:t xml:space="preserve">in je potrebno podrobno </w:t>
      </w:r>
      <w:r w:rsidR="00390FBA" w:rsidRPr="00B66999">
        <w:rPr>
          <w:rFonts w:eastAsiaTheme="minorHAnsi" w:cs="Arial"/>
          <w:iCs/>
          <w:szCs w:val="20"/>
          <w:lang w:val="sl-SI"/>
        </w:rPr>
        <w:t xml:space="preserve">projektno </w:t>
      </w:r>
      <w:r w:rsidRPr="00B66999">
        <w:rPr>
          <w:rFonts w:eastAsiaTheme="minorHAnsi" w:cs="Arial"/>
          <w:iCs/>
          <w:szCs w:val="20"/>
          <w:lang w:val="sl-SI"/>
        </w:rPr>
        <w:t>obdelati v nadaljnjih fazah projektiranja (PZI), ko bo natančno definirana zasnova objektov.</w:t>
      </w:r>
    </w:p>
    <w:bookmarkEnd w:id="1"/>
    <w:p w14:paraId="2ECEE7F0" w14:textId="77777777" w:rsidR="00924064" w:rsidRPr="00B66999" w:rsidRDefault="00924064" w:rsidP="00924064">
      <w:pPr>
        <w:spacing w:line="276" w:lineRule="auto"/>
        <w:jc w:val="both"/>
        <w:rPr>
          <w:rFonts w:eastAsiaTheme="minorHAnsi" w:cs="Arial"/>
          <w:iCs/>
          <w:szCs w:val="20"/>
          <w:lang w:val="sl-SI"/>
        </w:rPr>
      </w:pPr>
    </w:p>
    <w:p w14:paraId="52A4A59F" w14:textId="7C1F2FC4" w:rsidR="00924064" w:rsidRPr="00B66999" w:rsidRDefault="00924064" w:rsidP="00924064">
      <w:pPr>
        <w:spacing w:line="276" w:lineRule="auto"/>
        <w:jc w:val="both"/>
        <w:rPr>
          <w:rFonts w:eastAsiaTheme="minorHAnsi" w:cs="Arial"/>
          <w:iCs/>
          <w:szCs w:val="20"/>
          <w:lang w:val="sl-SI"/>
        </w:rPr>
      </w:pPr>
      <w:bookmarkStart w:id="2" w:name="_Hlk181691155"/>
      <w:r w:rsidRPr="00B66999">
        <w:rPr>
          <w:rFonts w:eastAsiaTheme="minorHAnsi" w:cs="Arial"/>
          <w:iCs/>
          <w:szCs w:val="20"/>
          <w:lang w:val="sl-SI"/>
        </w:rPr>
        <w:t>(</w:t>
      </w:r>
      <w:r w:rsidR="00B66999" w:rsidRPr="00B66999">
        <w:rPr>
          <w:rFonts w:eastAsiaTheme="minorHAnsi" w:cs="Arial"/>
          <w:iCs/>
          <w:szCs w:val="20"/>
          <w:lang w:val="sl-SI"/>
        </w:rPr>
        <w:t>4</w:t>
      </w:r>
      <w:r w:rsidRPr="00B66999">
        <w:rPr>
          <w:rFonts w:eastAsiaTheme="minorHAnsi" w:cs="Arial"/>
          <w:iCs/>
          <w:szCs w:val="20"/>
          <w:lang w:val="sl-SI"/>
        </w:rPr>
        <w:t xml:space="preserve">) Dopustna so odstopanja od predpisanih tehničnih rešitev iz </w:t>
      </w:r>
      <w:r w:rsidR="00B66999" w:rsidRPr="00B66999">
        <w:rPr>
          <w:rFonts w:eastAsiaTheme="minorHAnsi" w:cs="Arial"/>
          <w:iCs/>
          <w:szCs w:val="20"/>
          <w:lang w:val="sl-SI"/>
        </w:rPr>
        <w:t>tretje</w:t>
      </w:r>
      <w:r w:rsidR="004772EF">
        <w:rPr>
          <w:rFonts w:eastAsiaTheme="minorHAnsi" w:cs="Arial"/>
          <w:iCs/>
          <w:szCs w:val="20"/>
          <w:lang w:val="sl-SI"/>
        </w:rPr>
        <w:t>ga odstavka</w:t>
      </w:r>
      <w:r w:rsidRPr="00B66999">
        <w:rPr>
          <w:rFonts w:eastAsiaTheme="minorHAnsi" w:cs="Arial"/>
          <w:iCs/>
          <w:szCs w:val="20"/>
          <w:lang w:val="sl-SI"/>
        </w:rPr>
        <w:t xml:space="preserve"> tega člena v kolikor se tako izkaže za ustreznejše na podlagi podrobnejšega preučevanja geoloških, hidroloških, geomehanskih in drugih razmer. Takšno odstopanje je dopustno ob pridobitvi mnenja pooblaščenega strokovnjaka s področja geomehanike, ki pisno potrdi ustreznost in varnost načrtovane gradnje. </w:t>
      </w:r>
    </w:p>
    <w:bookmarkEnd w:id="0"/>
    <w:bookmarkEnd w:id="2"/>
    <w:p w14:paraId="7CCAEFCF" w14:textId="66527384" w:rsidR="001D2BFF" w:rsidRPr="00CC391F" w:rsidRDefault="001D2BFF" w:rsidP="001D2BFF">
      <w:pPr>
        <w:spacing w:line="276" w:lineRule="auto"/>
        <w:jc w:val="both"/>
        <w:rPr>
          <w:rFonts w:eastAsiaTheme="minorHAnsi" w:cs="Arial"/>
          <w:szCs w:val="20"/>
          <w:lang w:val="sl-SI"/>
        </w:rPr>
      </w:pPr>
    </w:p>
    <w:p w14:paraId="65D1CC80" w14:textId="1E03B342" w:rsidR="00F27BB0" w:rsidRPr="00B66999" w:rsidRDefault="009E396A" w:rsidP="00390FBA">
      <w:pPr>
        <w:spacing w:line="276" w:lineRule="auto"/>
        <w:jc w:val="both"/>
        <w:rPr>
          <w:rFonts w:eastAsiaTheme="minorHAnsi" w:cs="Arial"/>
          <w:szCs w:val="20"/>
          <w:lang w:val="sl-SI"/>
        </w:rPr>
      </w:pPr>
      <w:r w:rsidRPr="00CC391F">
        <w:rPr>
          <w:rFonts w:eastAsiaTheme="minorHAnsi" w:cs="Arial"/>
          <w:szCs w:val="20"/>
          <w:lang w:val="sl-SI"/>
        </w:rPr>
        <w:t xml:space="preserve"> </w:t>
      </w:r>
      <w:r w:rsidR="009D35C6" w:rsidRPr="00CC391F">
        <w:rPr>
          <w:rFonts w:eastAsiaTheme="minorHAnsi" w:cs="Arial"/>
          <w:szCs w:val="20"/>
          <w:lang w:val="sl-SI"/>
        </w:rPr>
        <w:t xml:space="preserve">(5) </w:t>
      </w:r>
      <w:r w:rsidR="005849C0" w:rsidRPr="00CC391F">
        <w:rPr>
          <w:rFonts w:eastAsiaTheme="minorHAnsi" w:cs="Arial"/>
          <w:szCs w:val="20"/>
          <w:lang w:val="sl-SI"/>
        </w:rPr>
        <w:t xml:space="preserve">Na območju gradbene </w:t>
      </w:r>
      <w:r w:rsidRPr="00CC391F">
        <w:rPr>
          <w:rFonts w:eastAsiaTheme="minorHAnsi" w:cs="Arial"/>
          <w:szCs w:val="20"/>
          <w:lang w:val="sl-SI"/>
        </w:rPr>
        <w:t>parcel</w:t>
      </w:r>
      <w:r w:rsidR="005849C0" w:rsidRPr="00CC391F">
        <w:rPr>
          <w:rFonts w:eastAsiaTheme="minorHAnsi" w:cs="Arial"/>
          <w:szCs w:val="20"/>
          <w:lang w:val="sl-SI"/>
        </w:rPr>
        <w:t>e</w:t>
      </w:r>
      <w:r w:rsidRPr="00CC391F">
        <w:rPr>
          <w:rFonts w:eastAsiaTheme="minorHAnsi" w:cs="Arial"/>
          <w:szCs w:val="20"/>
          <w:lang w:val="sl-SI"/>
        </w:rPr>
        <w:t xml:space="preserve"> je potrebno vzpostaviti </w:t>
      </w:r>
      <w:r w:rsidR="005849C0" w:rsidRPr="00CC391F">
        <w:rPr>
          <w:rFonts w:eastAsiaTheme="minorHAnsi" w:cs="Arial"/>
          <w:szCs w:val="20"/>
          <w:lang w:val="sl-SI"/>
        </w:rPr>
        <w:t xml:space="preserve">enotno </w:t>
      </w:r>
      <w:r w:rsidR="0019292F" w:rsidRPr="00CC391F">
        <w:rPr>
          <w:rFonts w:eastAsiaTheme="minorHAnsi" w:cs="Arial"/>
          <w:szCs w:val="20"/>
          <w:lang w:val="sl-SI"/>
        </w:rPr>
        <w:t>katastrsko</w:t>
      </w:r>
      <w:r w:rsidR="005849C0" w:rsidRPr="00CC391F">
        <w:rPr>
          <w:rFonts w:eastAsiaTheme="minorHAnsi" w:cs="Arial"/>
          <w:szCs w:val="20"/>
          <w:lang w:val="sl-SI"/>
        </w:rPr>
        <w:t xml:space="preserve"> parcelo </w:t>
      </w:r>
      <w:r w:rsidRPr="00CC391F">
        <w:rPr>
          <w:rFonts w:eastAsiaTheme="minorHAnsi" w:cs="Arial"/>
          <w:szCs w:val="20"/>
          <w:lang w:val="sl-SI"/>
        </w:rPr>
        <w:t>pred izdajo uporabnega dovoljenja</w:t>
      </w:r>
      <w:r w:rsidRPr="00B66999">
        <w:rPr>
          <w:rFonts w:eastAsiaTheme="minorHAnsi" w:cs="Arial"/>
          <w:szCs w:val="20"/>
          <w:lang w:val="sl-SI"/>
        </w:rPr>
        <w:t xml:space="preserve">. </w:t>
      </w:r>
    </w:p>
    <w:p w14:paraId="13CB9281" w14:textId="77777777" w:rsidR="00B66999" w:rsidRPr="00131ADD" w:rsidRDefault="00B66999" w:rsidP="00390FBA">
      <w:pPr>
        <w:spacing w:line="276" w:lineRule="auto"/>
        <w:jc w:val="both"/>
        <w:rPr>
          <w:rFonts w:eastAsiaTheme="minorHAnsi" w:cs="Arial"/>
          <w:szCs w:val="20"/>
          <w:lang w:val="sl-SI"/>
        </w:rPr>
      </w:pPr>
    </w:p>
    <w:p w14:paraId="3C9F34AD" w14:textId="5E91635E" w:rsidR="00F27BB0" w:rsidRPr="008B7464" w:rsidRDefault="002F6299" w:rsidP="00F27BB0">
      <w:pPr>
        <w:spacing w:line="276" w:lineRule="auto"/>
        <w:jc w:val="center"/>
        <w:rPr>
          <w:rFonts w:eastAsiaTheme="minorHAnsi" w:cs="Arial"/>
          <w:color w:val="000000"/>
          <w:szCs w:val="20"/>
          <w:lang w:val="sl-SI"/>
        </w:rPr>
      </w:pPr>
      <w:r>
        <w:rPr>
          <w:rFonts w:eastAsiaTheme="minorHAnsi" w:cs="Arial"/>
          <w:color w:val="000000"/>
          <w:szCs w:val="20"/>
          <w:lang w:val="sl-SI"/>
        </w:rPr>
        <w:t>4</w:t>
      </w:r>
      <w:r w:rsidR="00F27BB0" w:rsidRPr="008B7464">
        <w:rPr>
          <w:rFonts w:eastAsiaTheme="minorHAnsi" w:cs="Arial"/>
          <w:color w:val="000000"/>
          <w:szCs w:val="20"/>
          <w:lang w:val="sl-SI"/>
        </w:rPr>
        <w:t>. člen</w:t>
      </w:r>
    </w:p>
    <w:p w14:paraId="42B49316" w14:textId="77777777" w:rsidR="00F27BB0" w:rsidRDefault="00F27BB0" w:rsidP="00F27BB0">
      <w:pPr>
        <w:spacing w:line="276" w:lineRule="auto"/>
        <w:jc w:val="center"/>
        <w:rPr>
          <w:rFonts w:eastAsiaTheme="minorHAnsi" w:cs="Arial"/>
          <w:color w:val="000000"/>
          <w:szCs w:val="20"/>
          <w:lang w:val="sl-SI"/>
        </w:rPr>
      </w:pPr>
      <w:r w:rsidRPr="008B7464">
        <w:rPr>
          <w:rFonts w:eastAsiaTheme="minorHAnsi" w:cs="Arial"/>
          <w:color w:val="000000"/>
          <w:szCs w:val="20"/>
          <w:lang w:val="sl-SI"/>
        </w:rPr>
        <w:t>(sklep vlade za objekte za odstranitev)</w:t>
      </w:r>
    </w:p>
    <w:p w14:paraId="66FB2659" w14:textId="77777777" w:rsidR="002F6299" w:rsidRPr="008B7464" w:rsidRDefault="002F6299" w:rsidP="00F27BB0">
      <w:pPr>
        <w:spacing w:line="276" w:lineRule="auto"/>
        <w:jc w:val="center"/>
        <w:rPr>
          <w:rFonts w:eastAsiaTheme="minorHAnsi" w:cs="Arial"/>
          <w:color w:val="000000"/>
          <w:szCs w:val="20"/>
          <w:lang w:val="sl-SI"/>
        </w:rPr>
      </w:pPr>
    </w:p>
    <w:p w14:paraId="247B7C59" w14:textId="14836A84" w:rsidR="00F27BB0" w:rsidRPr="008B7464" w:rsidRDefault="00F27BB0" w:rsidP="00F27BB0">
      <w:pPr>
        <w:spacing w:line="276" w:lineRule="auto"/>
        <w:jc w:val="both"/>
        <w:rPr>
          <w:rFonts w:eastAsiaTheme="minorHAnsi" w:cs="Arial"/>
          <w:color w:val="000000"/>
          <w:szCs w:val="20"/>
          <w:lang w:val="sl-SI"/>
        </w:rPr>
      </w:pPr>
      <w:r w:rsidRPr="008B7464">
        <w:rPr>
          <w:rFonts w:eastAsiaTheme="minorHAnsi" w:cs="Arial"/>
          <w:color w:val="000000"/>
          <w:szCs w:val="20"/>
          <w:lang w:val="sl-SI"/>
        </w:rPr>
        <w:t xml:space="preserve">Vlada Republike Slovenije je v skladu s prvim odstavkom 151.c člena Zakona o interventnih ukrepih za odpravo posledic poplav in zemeljskih plazov (Uradni list RS, št. 95/23, </w:t>
      </w:r>
      <w:r w:rsidRPr="00C20720">
        <w:rPr>
          <w:rFonts w:eastAsiaTheme="minorHAnsi" w:cs="Arial"/>
          <w:color w:val="000000"/>
          <w:szCs w:val="20"/>
          <w:lang w:val="sl-SI"/>
        </w:rPr>
        <w:t>117/23, 131/23 – ZORZFS in 62/24</w:t>
      </w:r>
      <w:r w:rsidRPr="008B7464">
        <w:rPr>
          <w:rFonts w:eastAsiaTheme="minorHAnsi" w:cs="Arial"/>
          <w:color w:val="000000"/>
          <w:szCs w:val="20"/>
          <w:lang w:val="sl-SI"/>
        </w:rPr>
        <w:t>) sprejela Sklep o določitvi objekt</w:t>
      </w:r>
      <w:r w:rsidR="005849C0">
        <w:rPr>
          <w:rFonts w:eastAsiaTheme="minorHAnsi" w:cs="Arial"/>
          <w:color w:val="000000"/>
          <w:szCs w:val="20"/>
          <w:lang w:val="sl-SI"/>
        </w:rPr>
        <w:t>ov</w:t>
      </w:r>
      <w:r w:rsidRPr="008B7464">
        <w:rPr>
          <w:rFonts w:eastAsiaTheme="minorHAnsi" w:cs="Arial"/>
          <w:color w:val="000000"/>
          <w:szCs w:val="20"/>
          <w:lang w:val="sl-SI"/>
        </w:rPr>
        <w:t xml:space="preserve">, katerih odstranitev je nujno potrebna in v javno korist </w:t>
      </w:r>
      <w:r w:rsidR="005849C0">
        <w:rPr>
          <w:rFonts w:eastAsiaTheme="minorHAnsi" w:cs="Arial"/>
          <w:color w:val="000000"/>
          <w:szCs w:val="20"/>
          <w:lang w:val="sl-SI"/>
        </w:rPr>
        <w:t>(</w:t>
      </w:r>
      <w:r w:rsidRPr="008B7464">
        <w:rPr>
          <w:rFonts w:eastAsiaTheme="minorHAnsi" w:cs="Arial"/>
          <w:color w:val="000000"/>
          <w:szCs w:val="20"/>
          <w:lang w:val="sl-SI"/>
        </w:rPr>
        <w:t xml:space="preserve">št. </w:t>
      </w:r>
      <w:r w:rsidR="005849C0">
        <w:rPr>
          <w:rFonts w:eastAsiaTheme="minorHAnsi" w:cs="Arial"/>
          <w:color w:val="000000"/>
          <w:szCs w:val="20"/>
          <w:lang w:val="sl-SI"/>
        </w:rPr>
        <w:t>011/2024/12</w:t>
      </w:r>
      <w:r w:rsidRPr="008B7464">
        <w:rPr>
          <w:rFonts w:eastAsiaTheme="minorHAnsi" w:cs="Arial"/>
          <w:color w:val="000000"/>
          <w:szCs w:val="20"/>
          <w:lang w:val="sl-SI"/>
        </w:rPr>
        <w:t xml:space="preserve">), s katerim je določeno, da je zaradi zavarovanja življenja in zdravja ljudi odstranitev objekta na naslovu: </w:t>
      </w:r>
      <w:r w:rsidR="009E396A">
        <w:rPr>
          <w:rFonts w:eastAsiaTheme="minorHAnsi" w:cs="Arial"/>
          <w:color w:val="000000"/>
          <w:szCs w:val="20"/>
          <w:lang w:val="sl-SI"/>
        </w:rPr>
        <w:t>Gorenja Dobrava 32</w:t>
      </w:r>
      <w:r w:rsidRPr="008B7464">
        <w:rPr>
          <w:rFonts w:eastAsiaTheme="minorHAnsi" w:cs="Arial"/>
          <w:color w:val="000000"/>
          <w:szCs w:val="20"/>
          <w:lang w:val="sl-SI"/>
        </w:rPr>
        <w:t xml:space="preserve">, št. stavbe </w:t>
      </w:r>
      <w:r w:rsidR="009E396A">
        <w:rPr>
          <w:rFonts w:eastAsiaTheme="minorHAnsi" w:cs="Arial"/>
          <w:color w:val="000000"/>
          <w:szCs w:val="20"/>
          <w:lang w:val="sl-SI"/>
        </w:rPr>
        <w:t>72</w:t>
      </w:r>
      <w:r w:rsidRPr="008B7464">
        <w:rPr>
          <w:rFonts w:eastAsiaTheme="minorHAnsi" w:cs="Arial"/>
          <w:color w:val="000000"/>
          <w:szCs w:val="20"/>
          <w:lang w:val="sl-SI"/>
        </w:rPr>
        <w:t>, parc</w:t>
      </w:r>
      <w:r w:rsidR="002F6299">
        <w:rPr>
          <w:rFonts w:eastAsiaTheme="minorHAnsi" w:cs="Arial"/>
          <w:color w:val="000000"/>
          <w:szCs w:val="20"/>
          <w:lang w:val="sl-SI"/>
        </w:rPr>
        <w:t>ela</w:t>
      </w:r>
      <w:r w:rsidRPr="008B7464">
        <w:rPr>
          <w:rFonts w:eastAsiaTheme="minorHAnsi" w:cs="Arial"/>
          <w:color w:val="000000"/>
          <w:szCs w:val="20"/>
          <w:lang w:val="sl-SI"/>
        </w:rPr>
        <w:t xml:space="preserve"> št. </w:t>
      </w:r>
      <w:r w:rsidR="005849C0">
        <w:rPr>
          <w:rFonts w:eastAsiaTheme="minorHAnsi" w:cs="Arial"/>
          <w:color w:val="000000"/>
          <w:szCs w:val="20"/>
          <w:lang w:val="sl-SI"/>
        </w:rPr>
        <w:t>422/1</w:t>
      </w:r>
      <w:r w:rsidRPr="008B7464">
        <w:rPr>
          <w:rFonts w:eastAsiaTheme="minorHAnsi" w:cs="Arial"/>
          <w:color w:val="000000"/>
          <w:szCs w:val="20"/>
          <w:lang w:val="sl-SI"/>
        </w:rPr>
        <w:t xml:space="preserve">, k. o. </w:t>
      </w:r>
      <w:r w:rsidR="005849C0">
        <w:rPr>
          <w:rFonts w:eastAsiaTheme="minorHAnsi" w:cs="Arial"/>
          <w:color w:val="000000"/>
          <w:szCs w:val="20"/>
          <w:lang w:val="sl-SI"/>
        </w:rPr>
        <w:t>2058 Dolenja Dobrava</w:t>
      </w:r>
      <w:r w:rsidRPr="008B7464">
        <w:rPr>
          <w:rFonts w:eastAsiaTheme="minorHAnsi" w:cs="Arial"/>
          <w:color w:val="000000"/>
          <w:szCs w:val="20"/>
          <w:lang w:val="sl-SI"/>
        </w:rPr>
        <w:t xml:space="preserve"> (št. strokovnega mnenja SM-</w:t>
      </w:r>
      <w:r w:rsidR="005849C0">
        <w:rPr>
          <w:rFonts w:eastAsiaTheme="minorHAnsi" w:cs="Arial"/>
          <w:szCs w:val="20"/>
          <w:lang w:val="sl-SI"/>
          <w14:ligatures w14:val="standardContextual"/>
        </w:rPr>
        <w:t>GRVGDB32S</w:t>
      </w:r>
      <w:r w:rsidRPr="008B7464">
        <w:rPr>
          <w:rFonts w:eastAsiaTheme="minorHAnsi" w:cs="Arial"/>
          <w:color w:val="000000"/>
          <w:szCs w:val="20"/>
          <w:lang w:val="sl-SI"/>
        </w:rPr>
        <w:t xml:space="preserve">) nujno potrebna in v javno korist. Zato se skladno s 4. členom ZORZFS na parcelah iz </w:t>
      </w:r>
      <w:r w:rsidR="005849C0">
        <w:rPr>
          <w:rFonts w:eastAsiaTheme="minorHAnsi" w:cs="Arial"/>
          <w:color w:val="000000"/>
          <w:szCs w:val="20"/>
          <w:lang w:val="sl-SI"/>
        </w:rPr>
        <w:t>2.</w:t>
      </w:r>
      <w:r w:rsidRPr="008B7464">
        <w:rPr>
          <w:rFonts w:eastAsiaTheme="minorHAnsi" w:cs="Arial"/>
          <w:color w:val="000000"/>
          <w:szCs w:val="20"/>
          <w:lang w:val="sl-SI"/>
        </w:rPr>
        <w:t xml:space="preserve"> člena tega sklepa predlaga povečanje stavbnega zemljišča in </w:t>
      </w:r>
      <w:r w:rsidR="009E396A">
        <w:rPr>
          <w:rFonts w:eastAsiaTheme="minorHAnsi" w:cs="Arial"/>
          <w:color w:val="000000"/>
          <w:szCs w:val="20"/>
          <w:lang w:val="sl-SI"/>
        </w:rPr>
        <w:t xml:space="preserve">sprememba </w:t>
      </w:r>
      <w:r w:rsidRPr="008B7464">
        <w:rPr>
          <w:rFonts w:eastAsiaTheme="minorHAnsi" w:cs="Arial"/>
          <w:color w:val="000000"/>
          <w:szCs w:val="20"/>
          <w:lang w:val="sl-SI"/>
        </w:rPr>
        <w:t>prostorsko izvedbenih pogojev za gradnjo nadomestitvenih objektov.</w:t>
      </w:r>
    </w:p>
    <w:p w14:paraId="6A570B77" w14:textId="77777777" w:rsidR="00EE6F61" w:rsidRPr="008B7464" w:rsidRDefault="00EE6F61" w:rsidP="00430682">
      <w:pPr>
        <w:spacing w:line="276" w:lineRule="auto"/>
        <w:rPr>
          <w:rFonts w:eastAsiaTheme="minorHAnsi" w:cs="Arial"/>
          <w:color w:val="000000"/>
          <w:szCs w:val="20"/>
          <w:lang w:val="sl-SI"/>
        </w:rPr>
      </w:pPr>
    </w:p>
    <w:p w14:paraId="636E535F" w14:textId="26CF88AF" w:rsidR="00EE6F61" w:rsidRDefault="00EE6F61" w:rsidP="00EE6F61">
      <w:pPr>
        <w:spacing w:line="276" w:lineRule="auto"/>
        <w:jc w:val="center"/>
        <w:rPr>
          <w:rFonts w:eastAsiaTheme="minorHAnsi" w:cs="Arial"/>
          <w:color w:val="000000"/>
          <w:szCs w:val="20"/>
          <w:lang w:val="sl-SI"/>
        </w:rPr>
      </w:pPr>
      <w:r>
        <w:rPr>
          <w:rFonts w:eastAsiaTheme="minorHAnsi" w:cs="Arial"/>
          <w:color w:val="000000"/>
          <w:szCs w:val="20"/>
          <w:lang w:val="sl-SI"/>
        </w:rPr>
        <w:t>5</w:t>
      </w:r>
      <w:r w:rsidRPr="008B7464">
        <w:rPr>
          <w:rFonts w:eastAsiaTheme="minorHAnsi" w:cs="Arial"/>
          <w:color w:val="000000"/>
          <w:szCs w:val="20"/>
          <w:lang w:val="sl-SI"/>
        </w:rPr>
        <w:t>. člen</w:t>
      </w:r>
    </w:p>
    <w:p w14:paraId="69C2E669" w14:textId="4EB7275F" w:rsidR="00F27BB0" w:rsidRDefault="00F27BB0" w:rsidP="00F27BB0">
      <w:pPr>
        <w:spacing w:line="276" w:lineRule="auto"/>
        <w:ind w:left="360"/>
        <w:jc w:val="center"/>
        <w:rPr>
          <w:rFonts w:eastAsiaTheme="minorHAnsi" w:cs="Arial"/>
          <w:color w:val="000000"/>
          <w:szCs w:val="20"/>
          <w:lang w:val="sl-SI"/>
        </w:rPr>
      </w:pPr>
      <w:r w:rsidRPr="008B7464">
        <w:rPr>
          <w:rFonts w:eastAsiaTheme="minorHAnsi" w:cs="Arial"/>
          <w:color w:val="000000"/>
          <w:szCs w:val="20"/>
          <w:lang w:val="sl-SI"/>
        </w:rPr>
        <w:lastRenderedPageBreak/>
        <w:t>(izvedbena regulacija na območju objektov za odstranitev)</w:t>
      </w:r>
    </w:p>
    <w:p w14:paraId="75226182" w14:textId="77777777" w:rsidR="00594FBF" w:rsidRPr="008B7464" w:rsidRDefault="00594FBF" w:rsidP="00F27BB0">
      <w:pPr>
        <w:spacing w:line="276" w:lineRule="auto"/>
        <w:ind w:left="360"/>
        <w:jc w:val="center"/>
        <w:rPr>
          <w:rFonts w:eastAsiaTheme="minorHAnsi" w:cs="Arial"/>
          <w:color w:val="000000"/>
          <w:szCs w:val="20"/>
          <w:lang w:val="sl-SI"/>
        </w:rPr>
      </w:pPr>
    </w:p>
    <w:p w14:paraId="3F24B711" w14:textId="0FE4EB87" w:rsidR="00F27BB0" w:rsidRPr="00F228D2" w:rsidRDefault="00F27BB0" w:rsidP="00430682">
      <w:pPr>
        <w:spacing w:line="276" w:lineRule="auto"/>
        <w:jc w:val="both"/>
        <w:rPr>
          <w:rFonts w:eastAsiaTheme="minorHAnsi" w:cs="Arial"/>
          <w:szCs w:val="20"/>
          <w:lang w:val="sl-SI"/>
        </w:rPr>
      </w:pPr>
      <w:r w:rsidRPr="00F228D2">
        <w:rPr>
          <w:rFonts w:eastAsiaTheme="minorHAnsi" w:cs="Arial"/>
          <w:szCs w:val="20"/>
          <w:lang w:val="sl-SI"/>
        </w:rPr>
        <w:t xml:space="preserve">V EUP </w:t>
      </w:r>
      <w:r w:rsidR="002F6299" w:rsidRPr="00F228D2">
        <w:rPr>
          <w:rFonts w:eastAsiaTheme="minorHAnsi" w:cs="Arial"/>
          <w:szCs w:val="20"/>
          <w:lang w:val="sl-SI"/>
        </w:rPr>
        <w:t>GOD-14/5</w:t>
      </w:r>
      <w:r w:rsidRPr="00F228D2">
        <w:rPr>
          <w:rFonts w:eastAsiaTheme="minorHAnsi" w:cs="Arial"/>
          <w:szCs w:val="20"/>
          <w:lang w:val="sl-SI"/>
        </w:rPr>
        <w:t xml:space="preserve"> na parcelah </w:t>
      </w:r>
      <w:r w:rsidR="002F6299" w:rsidRPr="00F228D2">
        <w:rPr>
          <w:rFonts w:eastAsiaTheme="minorHAnsi" w:cs="Arial"/>
          <w:szCs w:val="20"/>
          <w:lang w:val="sl-SI"/>
        </w:rPr>
        <w:t>št. 442/1(del) in 444/4 (del),</w:t>
      </w:r>
      <w:r w:rsidRPr="00F228D2">
        <w:rPr>
          <w:rFonts w:eastAsiaTheme="minorHAnsi" w:cs="Arial"/>
          <w:szCs w:val="20"/>
          <w:lang w:val="sl-SI"/>
        </w:rPr>
        <w:t xml:space="preserve"> k. o. </w:t>
      </w:r>
      <w:r w:rsidR="002F6299" w:rsidRPr="00F228D2">
        <w:rPr>
          <w:rFonts w:eastAsiaTheme="minorHAnsi" w:cs="Arial"/>
          <w:szCs w:val="20"/>
          <w:lang w:val="sl-SI"/>
        </w:rPr>
        <w:t>2058 Dolenja Dobrava</w:t>
      </w:r>
      <w:r w:rsidRPr="00F228D2">
        <w:rPr>
          <w:rFonts w:eastAsiaTheme="minorHAnsi" w:cs="Arial"/>
          <w:szCs w:val="20"/>
          <w:lang w:val="sl-SI"/>
        </w:rPr>
        <w:t xml:space="preserve">, ki so po namenski rabi prostora </w:t>
      </w:r>
      <w:r w:rsidR="002F6299" w:rsidRPr="00F228D2">
        <w:rPr>
          <w:rFonts w:eastAsiaTheme="minorHAnsi" w:cs="Arial"/>
          <w:szCs w:val="20"/>
          <w:lang w:val="sl-SI"/>
        </w:rPr>
        <w:t>A – posamična poselitev</w:t>
      </w:r>
      <w:r w:rsidRPr="00F228D2">
        <w:rPr>
          <w:rFonts w:eastAsiaTheme="minorHAnsi" w:cs="Arial"/>
          <w:szCs w:val="20"/>
          <w:lang w:val="sl-SI"/>
        </w:rPr>
        <w:t xml:space="preserve">, </w:t>
      </w:r>
      <w:bookmarkStart w:id="3" w:name="_Hlk181696436"/>
      <w:r w:rsidR="00430682" w:rsidRPr="00F228D2">
        <w:rPr>
          <w:rFonts w:eastAsiaTheme="minorHAnsi" w:cs="Arial"/>
          <w:szCs w:val="20"/>
          <w:lang w:val="sl-SI"/>
        </w:rPr>
        <w:t>se prepove postavitev kakršnih koli objektov in stavb, razen objektov za varstvo pred naravnimi in drugimi nesrečami, ter gospodarske javne infrastrukture in priključkov nanjo, ki jih ni mogoče izvesti drugje. Območje je prikazano v grafičnem delu sklepa o lokacijski preveritvi.</w:t>
      </w:r>
      <w:bookmarkEnd w:id="3"/>
    </w:p>
    <w:p w14:paraId="7E8FDADE" w14:textId="77777777" w:rsidR="00F27BB0" w:rsidRPr="008B7464" w:rsidRDefault="00F27BB0" w:rsidP="00F27BB0">
      <w:pPr>
        <w:spacing w:line="276" w:lineRule="auto"/>
        <w:jc w:val="both"/>
        <w:rPr>
          <w:rFonts w:eastAsiaTheme="minorHAnsi" w:cs="Arial"/>
          <w:color w:val="000000"/>
          <w:szCs w:val="20"/>
          <w:lang w:val="sl-SI"/>
        </w:rPr>
      </w:pPr>
    </w:p>
    <w:p w14:paraId="6FCC72BA" w14:textId="546405C7" w:rsidR="00F27BB0" w:rsidRDefault="00EE6F61" w:rsidP="00EE6F61">
      <w:pPr>
        <w:spacing w:line="276" w:lineRule="auto"/>
        <w:jc w:val="center"/>
        <w:rPr>
          <w:rFonts w:eastAsiaTheme="minorHAnsi" w:cs="Arial"/>
          <w:color w:val="000000"/>
          <w:szCs w:val="20"/>
          <w:lang w:val="sl-SI"/>
        </w:rPr>
      </w:pPr>
      <w:r>
        <w:rPr>
          <w:rFonts w:eastAsiaTheme="minorHAnsi" w:cs="Arial"/>
          <w:color w:val="000000"/>
          <w:szCs w:val="20"/>
          <w:lang w:val="sl-SI"/>
        </w:rPr>
        <w:t xml:space="preserve">6. </w:t>
      </w:r>
      <w:r w:rsidR="00F27BB0" w:rsidRPr="00594FBF">
        <w:rPr>
          <w:rFonts w:eastAsiaTheme="minorHAnsi" w:cs="Arial"/>
          <w:color w:val="000000"/>
          <w:szCs w:val="20"/>
          <w:lang w:val="sl-SI"/>
        </w:rPr>
        <w:t>člen</w:t>
      </w:r>
    </w:p>
    <w:p w14:paraId="4BB2DB84" w14:textId="2D50736A" w:rsidR="00612C00" w:rsidRPr="00594FBF" w:rsidRDefault="00612C00" w:rsidP="00EE6F61">
      <w:pPr>
        <w:spacing w:line="276" w:lineRule="auto"/>
        <w:jc w:val="center"/>
        <w:rPr>
          <w:rFonts w:eastAsiaTheme="minorHAnsi" w:cs="Arial"/>
          <w:color w:val="000000"/>
          <w:szCs w:val="20"/>
          <w:lang w:val="sl-SI"/>
        </w:rPr>
      </w:pPr>
      <w:r>
        <w:rPr>
          <w:rFonts w:eastAsiaTheme="minorHAnsi" w:cs="Arial"/>
          <w:color w:val="000000"/>
          <w:szCs w:val="20"/>
          <w:lang w:val="sl-SI"/>
        </w:rPr>
        <w:t>(objava sklepa)</w:t>
      </w:r>
    </w:p>
    <w:p w14:paraId="7D4EEDBE" w14:textId="77777777" w:rsidR="00594FBF" w:rsidRPr="00594FBF" w:rsidRDefault="00594FBF" w:rsidP="00594FBF">
      <w:pPr>
        <w:pStyle w:val="Odstavekseznama"/>
        <w:spacing w:line="276" w:lineRule="auto"/>
        <w:ind w:left="1080"/>
        <w:rPr>
          <w:rFonts w:eastAsiaTheme="minorHAnsi" w:cs="Arial"/>
          <w:color w:val="000000"/>
          <w:szCs w:val="20"/>
          <w:lang w:val="sl-SI"/>
        </w:rPr>
      </w:pPr>
    </w:p>
    <w:p w14:paraId="115A41FC" w14:textId="0E3F572C" w:rsidR="00F27BB0" w:rsidRPr="00F228D2" w:rsidRDefault="00F27BB0" w:rsidP="00594FBF">
      <w:pPr>
        <w:spacing w:line="276" w:lineRule="auto"/>
        <w:jc w:val="both"/>
        <w:rPr>
          <w:rFonts w:eastAsiaTheme="minorHAnsi" w:cs="Arial"/>
          <w:szCs w:val="20"/>
          <w:lang w:val="sl-SI"/>
        </w:rPr>
      </w:pPr>
      <w:r w:rsidRPr="008B7464">
        <w:rPr>
          <w:rFonts w:eastAsiaTheme="minorHAnsi" w:cs="Arial"/>
          <w:color w:val="000000"/>
          <w:szCs w:val="20"/>
          <w:lang w:val="sl-SI"/>
        </w:rPr>
        <w:t xml:space="preserve">Ta sklep se objavi v zbirki prostorskih aktov prostorskega informacijskega sistema z </w:t>
      </w:r>
      <w:r w:rsidRPr="00F228D2">
        <w:rPr>
          <w:rFonts w:eastAsiaTheme="minorHAnsi" w:cs="Arial"/>
          <w:szCs w:val="20"/>
          <w:lang w:val="sl-SI"/>
        </w:rPr>
        <w:t>identifikacijsko številko ID</w:t>
      </w:r>
      <w:r w:rsidR="00594FBF" w:rsidRPr="00F228D2">
        <w:rPr>
          <w:rFonts w:eastAsiaTheme="minorHAnsi" w:cs="Arial"/>
          <w:szCs w:val="20"/>
          <w:lang w:val="sl-SI"/>
        </w:rPr>
        <w:t xml:space="preserve"> </w:t>
      </w:r>
      <w:r w:rsidR="00F228D2" w:rsidRPr="00F228D2">
        <w:rPr>
          <w:rFonts w:eastAsiaTheme="minorHAnsi" w:cs="Arial"/>
          <w:szCs w:val="20"/>
          <w:lang w:val="sl-SI"/>
        </w:rPr>
        <w:t>4760</w:t>
      </w:r>
      <w:r w:rsidRPr="00F228D2">
        <w:rPr>
          <w:rFonts w:eastAsiaTheme="minorHAnsi" w:cs="Arial"/>
          <w:szCs w:val="20"/>
          <w:lang w:val="sl-SI"/>
        </w:rPr>
        <w:t>.</w:t>
      </w:r>
    </w:p>
    <w:p w14:paraId="03F3024A" w14:textId="77777777" w:rsidR="00EE6F61" w:rsidRPr="008B7464" w:rsidRDefault="00EE6F61" w:rsidP="00594FBF">
      <w:pPr>
        <w:spacing w:line="276" w:lineRule="auto"/>
        <w:jc w:val="both"/>
        <w:rPr>
          <w:rFonts w:eastAsiaTheme="minorHAnsi" w:cs="Arial"/>
          <w:color w:val="000000"/>
          <w:szCs w:val="20"/>
          <w:lang w:val="sl-SI"/>
        </w:rPr>
      </w:pPr>
    </w:p>
    <w:p w14:paraId="4EA21020" w14:textId="77777777" w:rsidR="00F27BB0" w:rsidRPr="008B7464" w:rsidRDefault="00F27BB0" w:rsidP="00F27BB0">
      <w:pPr>
        <w:spacing w:line="276" w:lineRule="auto"/>
        <w:rPr>
          <w:rFonts w:eastAsiaTheme="minorHAnsi" w:cs="Arial"/>
          <w:color w:val="000000"/>
          <w:szCs w:val="20"/>
          <w:lang w:val="sl-SI"/>
        </w:rPr>
      </w:pPr>
    </w:p>
    <w:p w14:paraId="3A518294" w14:textId="44052E68" w:rsidR="00F27BB0" w:rsidRDefault="00EE6F61" w:rsidP="00EE6F61">
      <w:pPr>
        <w:spacing w:line="276" w:lineRule="auto"/>
        <w:jc w:val="center"/>
        <w:rPr>
          <w:rFonts w:eastAsiaTheme="minorHAnsi" w:cs="Arial"/>
          <w:color w:val="000000"/>
          <w:szCs w:val="20"/>
          <w:lang w:val="sl-SI"/>
        </w:rPr>
      </w:pPr>
      <w:r>
        <w:rPr>
          <w:rFonts w:eastAsiaTheme="minorHAnsi" w:cs="Arial"/>
          <w:color w:val="000000"/>
          <w:szCs w:val="20"/>
          <w:lang w:val="sl-SI"/>
        </w:rPr>
        <w:t xml:space="preserve">7. </w:t>
      </w:r>
      <w:r w:rsidR="00F27BB0" w:rsidRPr="00594FBF">
        <w:rPr>
          <w:rFonts w:eastAsiaTheme="minorHAnsi" w:cs="Arial"/>
          <w:color w:val="000000"/>
          <w:szCs w:val="20"/>
          <w:lang w:val="sl-SI"/>
        </w:rPr>
        <w:t>člen</w:t>
      </w:r>
    </w:p>
    <w:p w14:paraId="6D3CA002" w14:textId="0BAAF26D" w:rsidR="00612C00" w:rsidRPr="00594FBF" w:rsidRDefault="00612C00" w:rsidP="00EE6F61">
      <w:pPr>
        <w:spacing w:line="276" w:lineRule="auto"/>
        <w:jc w:val="center"/>
        <w:rPr>
          <w:rFonts w:eastAsiaTheme="minorHAnsi" w:cs="Arial"/>
          <w:color w:val="000000"/>
          <w:szCs w:val="20"/>
          <w:lang w:val="sl-SI"/>
        </w:rPr>
      </w:pPr>
      <w:r>
        <w:rPr>
          <w:rFonts w:eastAsiaTheme="minorHAnsi" w:cs="Arial"/>
          <w:color w:val="000000"/>
          <w:szCs w:val="20"/>
          <w:lang w:val="sl-SI"/>
        </w:rPr>
        <w:t>(začetek veljavnosti)</w:t>
      </w:r>
    </w:p>
    <w:p w14:paraId="33B2BD4C" w14:textId="77777777" w:rsidR="00594FBF" w:rsidRPr="00594FBF" w:rsidRDefault="00594FBF" w:rsidP="00594FBF">
      <w:pPr>
        <w:pStyle w:val="Odstavekseznama"/>
        <w:spacing w:line="276" w:lineRule="auto"/>
        <w:ind w:left="1080"/>
        <w:rPr>
          <w:rFonts w:eastAsiaTheme="minorHAnsi" w:cs="Arial"/>
          <w:color w:val="000000"/>
          <w:szCs w:val="20"/>
          <w:lang w:val="sl-SI"/>
        </w:rPr>
      </w:pPr>
    </w:p>
    <w:p w14:paraId="640B3145" w14:textId="70DB0319" w:rsidR="00F27BB0" w:rsidRPr="008B7464" w:rsidRDefault="00F27BB0" w:rsidP="00F27BB0">
      <w:pPr>
        <w:spacing w:line="276" w:lineRule="auto"/>
        <w:rPr>
          <w:rFonts w:eastAsiaTheme="minorHAnsi" w:cs="Arial"/>
          <w:color w:val="000000"/>
          <w:szCs w:val="20"/>
          <w:lang w:val="sl-SI"/>
        </w:rPr>
      </w:pPr>
      <w:r w:rsidRPr="008B7464">
        <w:rPr>
          <w:rFonts w:eastAsiaTheme="minorHAnsi" w:cs="Arial"/>
          <w:color w:val="000000"/>
          <w:szCs w:val="20"/>
          <w:lang w:val="sl-SI"/>
        </w:rPr>
        <w:t xml:space="preserve">Ta sklep začne veljati naslednji dan po objavi v </w:t>
      </w:r>
      <w:r w:rsidR="00594FBF">
        <w:rPr>
          <w:rFonts w:eastAsiaTheme="minorHAnsi" w:cs="Arial"/>
          <w:color w:val="000000"/>
          <w:szCs w:val="20"/>
          <w:lang w:val="sl-SI"/>
        </w:rPr>
        <w:t>Ur</w:t>
      </w:r>
      <w:r w:rsidR="004772EF">
        <w:rPr>
          <w:rFonts w:eastAsiaTheme="minorHAnsi" w:cs="Arial"/>
          <w:color w:val="000000"/>
          <w:szCs w:val="20"/>
          <w:lang w:val="sl-SI"/>
        </w:rPr>
        <w:t xml:space="preserve">adnem listu </w:t>
      </w:r>
      <w:r w:rsidR="00594FBF">
        <w:rPr>
          <w:rFonts w:eastAsiaTheme="minorHAnsi" w:cs="Arial"/>
          <w:color w:val="000000"/>
          <w:szCs w:val="20"/>
          <w:lang w:val="sl-SI"/>
        </w:rPr>
        <w:t>R</w:t>
      </w:r>
      <w:r w:rsidR="004772EF">
        <w:rPr>
          <w:rFonts w:eastAsiaTheme="minorHAnsi" w:cs="Arial"/>
          <w:color w:val="000000"/>
          <w:szCs w:val="20"/>
          <w:lang w:val="sl-SI"/>
        </w:rPr>
        <w:t xml:space="preserve">epublike </w:t>
      </w:r>
      <w:r w:rsidR="00594FBF">
        <w:rPr>
          <w:rFonts w:eastAsiaTheme="minorHAnsi" w:cs="Arial"/>
          <w:color w:val="000000"/>
          <w:szCs w:val="20"/>
          <w:lang w:val="sl-SI"/>
        </w:rPr>
        <w:t>S</w:t>
      </w:r>
      <w:r w:rsidR="004772EF">
        <w:rPr>
          <w:rFonts w:eastAsiaTheme="minorHAnsi" w:cs="Arial"/>
          <w:color w:val="000000"/>
          <w:szCs w:val="20"/>
          <w:lang w:val="sl-SI"/>
        </w:rPr>
        <w:t>lovenije.</w:t>
      </w:r>
    </w:p>
    <w:p w14:paraId="1C6E052D" w14:textId="77777777" w:rsidR="00F27BB0" w:rsidRPr="008B7464" w:rsidRDefault="00F27BB0" w:rsidP="00F27BB0">
      <w:pPr>
        <w:spacing w:line="276" w:lineRule="auto"/>
        <w:rPr>
          <w:rFonts w:eastAsiaTheme="minorHAnsi" w:cs="Arial"/>
          <w:color w:val="000000"/>
          <w:szCs w:val="20"/>
          <w:lang w:val="sl-SI"/>
        </w:rPr>
      </w:pPr>
    </w:p>
    <w:p w14:paraId="43C95269" w14:textId="77777777" w:rsidR="00F27BB0" w:rsidRPr="008B7464" w:rsidRDefault="00F27BB0" w:rsidP="00F27BB0">
      <w:pPr>
        <w:spacing w:line="276" w:lineRule="auto"/>
        <w:rPr>
          <w:rFonts w:eastAsiaTheme="minorHAnsi" w:cs="Arial"/>
          <w:color w:val="000000"/>
          <w:szCs w:val="20"/>
          <w:lang w:val="sl-SI"/>
        </w:rPr>
      </w:pPr>
    </w:p>
    <w:p w14:paraId="1D6B4F6D" w14:textId="77777777" w:rsidR="00F27BB0" w:rsidRPr="008B7464" w:rsidRDefault="00F27BB0" w:rsidP="00F27BB0">
      <w:pPr>
        <w:spacing w:line="276" w:lineRule="auto"/>
        <w:rPr>
          <w:rFonts w:eastAsiaTheme="minorHAnsi" w:cs="Arial"/>
          <w:color w:val="000000"/>
          <w:szCs w:val="20"/>
          <w:lang w:val="sl-SI"/>
        </w:rPr>
      </w:pPr>
      <w:r w:rsidRPr="008B7464">
        <w:rPr>
          <w:rFonts w:eastAsiaTheme="minorHAnsi" w:cs="Arial"/>
          <w:color w:val="000000"/>
          <w:szCs w:val="20"/>
          <w:lang w:val="sl-SI"/>
        </w:rPr>
        <w:t>Št. _______</w:t>
      </w:r>
    </w:p>
    <w:p w14:paraId="38D2D4CD" w14:textId="1D12B95D" w:rsidR="00F27BB0" w:rsidRPr="008B7464" w:rsidRDefault="004772EF" w:rsidP="00F27BB0">
      <w:pPr>
        <w:spacing w:line="276" w:lineRule="auto"/>
        <w:rPr>
          <w:rFonts w:eastAsiaTheme="minorHAnsi" w:cs="Arial"/>
          <w:color w:val="000000"/>
          <w:szCs w:val="20"/>
          <w:lang w:val="sl-SI"/>
        </w:rPr>
      </w:pPr>
      <w:r>
        <w:rPr>
          <w:rFonts w:eastAsiaTheme="minorHAnsi" w:cs="Arial"/>
          <w:color w:val="000000"/>
          <w:szCs w:val="20"/>
          <w:lang w:val="sl-SI"/>
        </w:rPr>
        <w:t>Gorenja vas, dne</w:t>
      </w:r>
      <w:r w:rsidR="00F27BB0" w:rsidRPr="008B7464">
        <w:rPr>
          <w:rFonts w:eastAsiaTheme="minorHAnsi" w:cs="Arial"/>
          <w:color w:val="000000"/>
          <w:szCs w:val="20"/>
          <w:lang w:val="sl-SI"/>
        </w:rPr>
        <w:t xml:space="preserve"> ____________</w:t>
      </w:r>
    </w:p>
    <w:p w14:paraId="0B3A8BE6" w14:textId="545A9304" w:rsidR="00594FBF" w:rsidRDefault="00F27BB0" w:rsidP="00594FBF">
      <w:pPr>
        <w:spacing w:line="276" w:lineRule="auto"/>
        <w:jc w:val="right"/>
        <w:rPr>
          <w:rFonts w:eastAsiaTheme="minorHAnsi" w:cs="Arial"/>
          <w:color w:val="000000"/>
          <w:szCs w:val="20"/>
          <w:lang w:val="sl-SI"/>
        </w:rPr>
      </w:pPr>
      <w:r w:rsidRPr="008B7464">
        <w:rPr>
          <w:rFonts w:eastAsiaTheme="minorHAnsi" w:cs="Arial"/>
          <w:color w:val="000000"/>
          <w:szCs w:val="20"/>
          <w:lang w:val="sl-SI"/>
        </w:rPr>
        <w:t xml:space="preserve">Župan </w:t>
      </w:r>
    </w:p>
    <w:p w14:paraId="35DC3378" w14:textId="5AA8C84B" w:rsidR="00594FBF" w:rsidRPr="00594FBF" w:rsidRDefault="00594FBF" w:rsidP="00594FBF">
      <w:pPr>
        <w:spacing w:line="276" w:lineRule="auto"/>
        <w:jc w:val="right"/>
        <w:rPr>
          <w:rFonts w:eastAsiaTheme="minorHAnsi" w:cs="Arial"/>
          <w:color w:val="000000"/>
          <w:szCs w:val="20"/>
          <w:lang w:val="sl-SI"/>
        </w:rPr>
      </w:pPr>
      <w:r>
        <w:rPr>
          <w:rFonts w:eastAsiaTheme="minorHAnsi" w:cs="Arial"/>
          <w:color w:val="000000"/>
          <w:szCs w:val="20"/>
          <w:lang w:val="sl-SI"/>
        </w:rPr>
        <w:t>Milan Čadež</w:t>
      </w:r>
    </w:p>
    <w:p w14:paraId="487BB30E" w14:textId="236235A4" w:rsidR="004F7C8E" w:rsidRPr="00594FBF" w:rsidRDefault="004F7C8E" w:rsidP="00594FBF">
      <w:pPr>
        <w:keepNext/>
        <w:keepLines/>
        <w:tabs>
          <w:tab w:val="left" w:pos="426"/>
        </w:tabs>
        <w:spacing w:after="120" w:line="276" w:lineRule="auto"/>
        <w:jc w:val="right"/>
        <w:outlineLvl w:val="0"/>
        <w:rPr>
          <w:rFonts w:eastAsiaTheme="minorHAnsi" w:cs="Arial"/>
          <w:color w:val="000000"/>
          <w:szCs w:val="20"/>
          <w:lang w:val="sl-SI"/>
        </w:rPr>
      </w:pPr>
    </w:p>
    <w:sectPr w:rsidR="004F7C8E" w:rsidRPr="00594FBF" w:rsidSect="00131ADD">
      <w:footerReference w:type="default" r:id="rId7"/>
      <w:pgSz w:w="11900" w:h="16840" w:code="9"/>
      <w:pgMar w:top="1701" w:right="1701" w:bottom="1134" w:left="1701" w:header="964" w:footer="79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1D75B" w14:textId="77777777" w:rsidR="00036308" w:rsidRDefault="00036308">
      <w:pPr>
        <w:spacing w:line="240" w:lineRule="auto"/>
      </w:pPr>
      <w:r>
        <w:separator/>
      </w:r>
    </w:p>
  </w:endnote>
  <w:endnote w:type="continuationSeparator" w:id="0">
    <w:p w14:paraId="1FFED55F" w14:textId="77777777" w:rsidR="00036308" w:rsidRDefault="000363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kkurat-Light">
    <w:altName w:val="Calibri"/>
    <w:charset w:val="00"/>
    <w:family w:val="auto"/>
    <w:pitch w:val="variable"/>
    <w:sig w:usb0="800000AF" w:usb1="4000204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4353953"/>
      <w:docPartObj>
        <w:docPartGallery w:val="Page Numbers (Bottom of Page)"/>
        <w:docPartUnique/>
      </w:docPartObj>
    </w:sdtPr>
    <w:sdtEndPr/>
    <w:sdtContent>
      <w:p w14:paraId="38F68BE8" w14:textId="7435D622" w:rsidR="001D2BFF" w:rsidRDefault="001D2BFF" w:rsidP="00131ADD">
        <w:pPr>
          <w:pStyle w:val="Noga"/>
          <w:jc w:val="right"/>
        </w:pPr>
        <w:r>
          <w:fldChar w:fldCharType="begin"/>
        </w:r>
        <w:r>
          <w:instrText>PAGE   \* MERGEFORMAT</w:instrText>
        </w:r>
        <w:r>
          <w:fldChar w:fldCharType="separate"/>
        </w:r>
        <w:r>
          <w:rPr>
            <w:lang w:val="sl-SI"/>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11A16" w14:textId="77777777" w:rsidR="00036308" w:rsidRDefault="00036308">
      <w:pPr>
        <w:spacing w:line="240" w:lineRule="auto"/>
      </w:pPr>
      <w:r>
        <w:separator/>
      </w:r>
    </w:p>
  </w:footnote>
  <w:footnote w:type="continuationSeparator" w:id="0">
    <w:p w14:paraId="5329284B" w14:textId="77777777" w:rsidR="00036308" w:rsidRDefault="0003630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C3A23"/>
    <w:multiLevelType w:val="hybridMultilevel"/>
    <w:tmpl w:val="1C2E6C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95D0C5F"/>
    <w:multiLevelType w:val="hybridMultilevel"/>
    <w:tmpl w:val="7D384446"/>
    <w:lvl w:ilvl="0" w:tplc="CE0C26E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633890"/>
    <w:multiLevelType w:val="hybridMultilevel"/>
    <w:tmpl w:val="B97C40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AC1279"/>
    <w:multiLevelType w:val="hybridMultilevel"/>
    <w:tmpl w:val="848A2B1A"/>
    <w:lvl w:ilvl="0" w:tplc="D0A01554">
      <w:start w:val="1"/>
      <w:numFmt w:val="bullet"/>
      <w:lvlText w:val="-"/>
      <w:lvlJc w:val="left"/>
      <w:pPr>
        <w:ind w:left="720" w:hanging="360"/>
      </w:pPr>
      <w:rPr>
        <w:rFonts w:ascii="Akkurat-Light" w:eastAsia="Times New Roman" w:hAnsi="Akkurat-Light"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F8B3429"/>
    <w:multiLevelType w:val="hybridMultilevel"/>
    <w:tmpl w:val="C9A09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72F30B6"/>
    <w:multiLevelType w:val="hybridMultilevel"/>
    <w:tmpl w:val="982C5D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0F81CA3"/>
    <w:multiLevelType w:val="hybridMultilevel"/>
    <w:tmpl w:val="316C6E0A"/>
    <w:lvl w:ilvl="0" w:tplc="18303D04">
      <w:start w:val="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68580486">
    <w:abstractNumId w:val="5"/>
  </w:num>
  <w:num w:numId="2" w16cid:durableId="1734546088">
    <w:abstractNumId w:val="6"/>
  </w:num>
  <w:num w:numId="3" w16cid:durableId="1266422328">
    <w:abstractNumId w:val="4"/>
  </w:num>
  <w:num w:numId="4" w16cid:durableId="973751677">
    <w:abstractNumId w:val="2"/>
  </w:num>
  <w:num w:numId="5" w16cid:durableId="780223703">
    <w:abstractNumId w:val="1"/>
  </w:num>
  <w:num w:numId="6" w16cid:durableId="1709603998">
    <w:abstractNumId w:val="0"/>
  </w:num>
  <w:num w:numId="7" w16cid:durableId="4672876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B0"/>
    <w:rsid w:val="00036308"/>
    <w:rsid w:val="000D2F72"/>
    <w:rsid w:val="000D32D0"/>
    <w:rsid w:val="000E5EBB"/>
    <w:rsid w:val="00131ADD"/>
    <w:rsid w:val="0014041C"/>
    <w:rsid w:val="00166B4A"/>
    <w:rsid w:val="00167ACA"/>
    <w:rsid w:val="0019292F"/>
    <w:rsid w:val="001B45DF"/>
    <w:rsid w:val="001D2BFF"/>
    <w:rsid w:val="00220844"/>
    <w:rsid w:val="002772E1"/>
    <w:rsid w:val="002F6299"/>
    <w:rsid w:val="00307231"/>
    <w:rsid w:val="003159FF"/>
    <w:rsid w:val="003328BE"/>
    <w:rsid w:val="00345511"/>
    <w:rsid w:val="00374D54"/>
    <w:rsid w:val="00390FBA"/>
    <w:rsid w:val="003A15D1"/>
    <w:rsid w:val="003E78F4"/>
    <w:rsid w:val="00430682"/>
    <w:rsid w:val="004716BD"/>
    <w:rsid w:val="004772EF"/>
    <w:rsid w:val="004A23F2"/>
    <w:rsid w:val="004F7C8E"/>
    <w:rsid w:val="005734A1"/>
    <w:rsid w:val="005849C0"/>
    <w:rsid w:val="00594FBF"/>
    <w:rsid w:val="005D0B5F"/>
    <w:rsid w:val="005D10DF"/>
    <w:rsid w:val="00612C00"/>
    <w:rsid w:val="006340C2"/>
    <w:rsid w:val="007550C5"/>
    <w:rsid w:val="00812919"/>
    <w:rsid w:val="00863977"/>
    <w:rsid w:val="00924064"/>
    <w:rsid w:val="009D35C6"/>
    <w:rsid w:val="009E396A"/>
    <w:rsid w:val="00AF3CAB"/>
    <w:rsid w:val="00B021B1"/>
    <w:rsid w:val="00B277C1"/>
    <w:rsid w:val="00B66999"/>
    <w:rsid w:val="00B768F2"/>
    <w:rsid w:val="00BA3434"/>
    <w:rsid w:val="00BD37A9"/>
    <w:rsid w:val="00C45C45"/>
    <w:rsid w:val="00CC391F"/>
    <w:rsid w:val="00CD4937"/>
    <w:rsid w:val="00D13BFC"/>
    <w:rsid w:val="00DC789E"/>
    <w:rsid w:val="00E2350A"/>
    <w:rsid w:val="00EE6F61"/>
    <w:rsid w:val="00F228D2"/>
    <w:rsid w:val="00F27BB0"/>
    <w:rsid w:val="00F42FFD"/>
    <w:rsid w:val="00FE27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A37A0"/>
  <w15:chartTrackingRefBased/>
  <w15:docId w15:val="{30E8E03C-8301-452E-8703-55113B9F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27BB0"/>
    <w:pPr>
      <w:spacing w:after="0" w:line="260" w:lineRule="atLeast"/>
    </w:pPr>
    <w:rPr>
      <w:rFonts w:ascii="Arial" w:eastAsia="Times New Roman" w:hAnsi="Arial" w:cs="Times New Roman"/>
      <w:kern w:val="0"/>
      <w:sz w:val="20"/>
      <w:szCs w:val="24"/>
      <w:lang w:val="en-US"/>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27BB0"/>
    <w:pPr>
      <w:tabs>
        <w:tab w:val="center" w:pos="4320"/>
        <w:tab w:val="right" w:pos="8640"/>
      </w:tabs>
    </w:pPr>
  </w:style>
  <w:style w:type="character" w:customStyle="1" w:styleId="GlavaZnak">
    <w:name w:val="Glava Znak"/>
    <w:basedOn w:val="Privzetapisavaodstavka"/>
    <w:link w:val="Glava"/>
    <w:rsid w:val="00F27BB0"/>
    <w:rPr>
      <w:rFonts w:ascii="Arial" w:eastAsia="Times New Roman" w:hAnsi="Arial" w:cs="Times New Roman"/>
      <w:kern w:val="0"/>
      <w:sz w:val="20"/>
      <w:szCs w:val="24"/>
      <w:lang w:val="en-US"/>
      <w14:ligatures w14:val="none"/>
    </w:rPr>
  </w:style>
  <w:style w:type="paragraph" w:styleId="Noga">
    <w:name w:val="footer"/>
    <w:basedOn w:val="Navaden"/>
    <w:link w:val="NogaZnak"/>
    <w:uiPriority w:val="99"/>
    <w:unhideWhenUsed/>
    <w:rsid w:val="003E78F4"/>
    <w:pPr>
      <w:tabs>
        <w:tab w:val="center" w:pos="4536"/>
        <w:tab w:val="right" w:pos="9072"/>
      </w:tabs>
      <w:spacing w:line="240" w:lineRule="auto"/>
    </w:pPr>
  </w:style>
  <w:style w:type="character" w:customStyle="1" w:styleId="NogaZnak">
    <w:name w:val="Noga Znak"/>
    <w:basedOn w:val="Privzetapisavaodstavka"/>
    <w:link w:val="Noga"/>
    <w:uiPriority w:val="99"/>
    <w:rsid w:val="003E78F4"/>
    <w:rPr>
      <w:rFonts w:ascii="Arial" w:eastAsia="Times New Roman" w:hAnsi="Arial" w:cs="Times New Roman"/>
      <w:kern w:val="0"/>
      <w:sz w:val="20"/>
      <w:szCs w:val="24"/>
      <w:lang w:val="en-US"/>
      <w14:ligatures w14:val="none"/>
    </w:rPr>
  </w:style>
  <w:style w:type="character" w:customStyle="1" w:styleId="Podrtano">
    <w:name w:val="Podčrtano"/>
    <w:basedOn w:val="Privzetapisavaodstavka"/>
    <w:rsid w:val="003159FF"/>
    <w:rPr>
      <w:rFonts w:ascii="Arial" w:hAnsi="Arial" w:cs="Times New Roman"/>
      <w:iCs/>
      <w:sz w:val="22"/>
      <w:u w:val="single"/>
    </w:rPr>
  </w:style>
  <w:style w:type="paragraph" w:styleId="Odstavekseznama">
    <w:name w:val="List Paragraph"/>
    <w:basedOn w:val="Navaden"/>
    <w:uiPriority w:val="34"/>
    <w:qFormat/>
    <w:rsid w:val="00CD4937"/>
    <w:pPr>
      <w:ind w:left="720"/>
      <w:contextualSpacing/>
    </w:pPr>
  </w:style>
  <w:style w:type="paragraph" w:customStyle="1" w:styleId="6KAZALO2">
    <w:name w:val="6_KAZALO2"/>
    <w:basedOn w:val="Navaden"/>
    <w:link w:val="6KAZALO2Znak"/>
    <w:qFormat/>
    <w:rsid w:val="009D35C6"/>
    <w:pPr>
      <w:tabs>
        <w:tab w:val="left" w:pos="1134"/>
        <w:tab w:val="left" w:pos="9639"/>
      </w:tabs>
      <w:spacing w:before="120" w:after="120" w:line="240" w:lineRule="auto"/>
    </w:pPr>
    <w:rPr>
      <w:rFonts w:ascii="Akkurat-Light" w:hAnsi="Akkurat-Light" w:cs="Arial"/>
      <w:noProof/>
      <w:sz w:val="22"/>
      <w:lang w:val="sl-SI" w:eastAsia="sl-SI"/>
    </w:rPr>
  </w:style>
  <w:style w:type="character" w:customStyle="1" w:styleId="6KAZALO2Znak">
    <w:name w:val="6_KAZALO2 Znak"/>
    <w:basedOn w:val="Privzetapisavaodstavka"/>
    <w:link w:val="6KAZALO2"/>
    <w:rsid w:val="009D35C6"/>
    <w:rPr>
      <w:rFonts w:ascii="Akkurat-Light" w:eastAsia="Times New Roman" w:hAnsi="Akkurat-Light" w:cs="Arial"/>
      <w:noProof/>
      <w:kern w:val="0"/>
      <w:szCs w:val="24"/>
      <w:lang w:eastAsia="sl-SI"/>
      <w14:ligatures w14:val="none"/>
    </w:rPr>
  </w:style>
  <w:style w:type="table" w:styleId="Tabelamrea">
    <w:name w:val="Table Grid"/>
    <w:basedOn w:val="Navadnatabela"/>
    <w:uiPriority w:val="39"/>
    <w:rsid w:val="009D35C6"/>
    <w:pPr>
      <w:spacing w:after="0" w:line="240" w:lineRule="auto"/>
      <w:jc w:val="both"/>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4772EF"/>
    <w:pPr>
      <w:spacing w:after="0" w:line="240" w:lineRule="auto"/>
    </w:pPr>
    <w:rPr>
      <w:rFonts w:ascii="Arial" w:eastAsia="Times New Roman" w:hAnsi="Arial"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1084</Words>
  <Characters>6184</Characters>
  <Application>Microsoft Office Word</Application>
  <DocSecurity>4</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Zala Jerman</dc:creator>
  <cp:keywords/>
  <dc:description/>
  <cp:lastModifiedBy>Jana Oblak</cp:lastModifiedBy>
  <cp:revision>2</cp:revision>
  <cp:lastPrinted>2025-03-19T14:41:00Z</cp:lastPrinted>
  <dcterms:created xsi:type="dcterms:W3CDTF">2025-11-03T12:23:00Z</dcterms:created>
  <dcterms:modified xsi:type="dcterms:W3CDTF">2025-11-03T12:23:00Z</dcterms:modified>
</cp:coreProperties>
</file>